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6DA81" w14:textId="48E719DF" w:rsidR="00FF5338" w:rsidRPr="00FF5338" w:rsidRDefault="00FF5338" w:rsidP="00FF5338">
      <w:pPr>
        <w:pStyle w:val="3GPPHeader"/>
        <w:spacing w:after="0"/>
        <w:rPr>
          <w:rFonts w:ascii="Arial" w:eastAsia="Times New Roman" w:hAnsi="Arial"/>
          <w:sz w:val="20"/>
          <w:szCs w:val="20"/>
          <w:lang w:val="en-GB" w:eastAsia="zh-CN"/>
        </w:rPr>
      </w:pPr>
      <w:r w:rsidRPr="00FF5338">
        <w:rPr>
          <w:rFonts w:ascii="Arial" w:eastAsia="Times New Roman" w:hAnsi="Arial"/>
          <w:sz w:val="20"/>
          <w:szCs w:val="20"/>
          <w:lang w:val="en-GB" w:eastAsia="zh-CN"/>
        </w:rPr>
        <w:t>3GPP TSG RAN WG1 Meeting Ad-Hoc Meeting 1901</w:t>
      </w:r>
      <w:r w:rsidRPr="00FF5338">
        <w:rPr>
          <w:rFonts w:ascii="Arial" w:eastAsia="Times New Roman" w:hAnsi="Arial"/>
          <w:sz w:val="20"/>
          <w:szCs w:val="20"/>
          <w:lang w:val="en-GB" w:eastAsia="zh-CN"/>
        </w:rPr>
        <w:tab/>
      </w:r>
      <w:r w:rsidRPr="000C4783">
        <w:rPr>
          <w:rFonts w:ascii="Arial" w:eastAsia="Times New Roman" w:hAnsi="Arial"/>
          <w:sz w:val="20"/>
          <w:szCs w:val="20"/>
          <w:lang w:val="en-GB" w:eastAsia="zh-CN"/>
        </w:rPr>
        <w:t>R1-19</w:t>
      </w:r>
      <w:r w:rsidR="000C4783" w:rsidRPr="000C4783">
        <w:rPr>
          <w:rFonts w:ascii="Arial" w:eastAsia="Times New Roman" w:hAnsi="Arial"/>
          <w:sz w:val="20"/>
          <w:szCs w:val="20"/>
          <w:lang w:val="en-GB" w:eastAsia="zh-CN"/>
        </w:rPr>
        <w:t>03036</w:t>
      </w:r>
    </w:p>
    <w:p w14:paraId="5CC95E3A" w14:textId="77777777" w:rsidR="00FF5338" w:rsidRPr="00FF5338" w:rsidRDefault="00FF5338" w:rsidP="00FF5338">
      <w:pPr>
        <w:pStyle w:val="3GPPHeader"/>
        <w:spacing w:after="0"/>
        <w:rPr>
          <w:rFonts w:ascii="Arial" w:eastAsia="Times New Roman" w:hAnsi="Arial"/>
          <w:sz w:val="20"/>
          <w:szCs w:val="20"/>
          <w:lang w:val="en-GB" w:eastAsia="zh-CN"/>
        </w:rPr>
      </w:pPr>
      <w:r w:rsidRPr="00FF5338">
        <w:rPr>
          <w:rFonts w:ascii="Arial" w:eastAsia="Times New Roman" w:hAnsi="Arial"/>
          <w:sz w:val="20"/>
          <w:szCs w:val="20"/>
          <w:lang w:val="en-GB" w:eastAsia="zh-CN"/>
        </w:rPr>
        <w:t>Athens, Greece, February 25th - March 1st, 2019</w:t>
      </w:r>
    </w:p>
    <w:p w14:paraId="04D75C00" w14:textId="77777777" w:rsidR="002C2764" w:rsidRPr="002C2764" w:rsidRDefault="002C2764" w:rsidP="002C2764">
      <w:pPr>
        <w:tabs>
          <w:tab w:val="left" w:pos="1800"/>
          <w:tab w:val="right" w:pos="9360"/>
        </w:tabs>
        <w:overflowPunct w:val="0"/>
        <w:autoSpaceDE w:val="0"/>
        <w:autoSpaceDN w:val="0"/>
        <w:adjustRightInd w:val="0"/>
        <w:spacing w:after="0"/>
        <w:jc w:val="both"/>
        <w:textAlignment w:val="baseline"/>
        <w:rPr>
          <w:rFonts w:ascii="Arial" w:eastAsia="Times New Roman" w:hAnsi="Arial"/>
          <w:b/>
          <w:sz w:val="20"/>
          <w:szCs w:val="20"/>
          <w:lang w:eastAsia="zh-CN"/>
        </w:rPr>
      </w:pPr>
    </w:p>
    <w:p w14:paraId="54F12F82" w14:textId="77777777" w:rsidR="002C2764" w:rsidRPr="002C2764" w:rsidRDefault="002C2764" w:rsidP="002C2764">
      <w:pPr>
        <w:tabs>
          <w:tab w:val="left" w:pos="1800"/>
          <w:tab w:val="right" w:pos="9360"/>
        </w:tabs>
        <w:overflowPunct w:val="0"/>
        <w:autoSpaceDE w:val="0"/>
        <w:autoSpaceDN w:val="0"/>
        <w:adjustRightInd w:val="0"/>
        <w:spacing w:after="0"/>
        <w:jc w:val="both"/>
        <w:textAlignment w:val="baseline"/>
        <w:rPr>
          <w:rFonts w:ascii="Arial" w:eastAsia="Times New Roman" w:hAnsi="Arial"/>
          <w:b/>
          <w:sz w:val="20"/>
          <w:szCs w:val="20"/>
          <w:lang w:val="en-GB" w:eastAsia="zh-CN"/>
        </w:rPr>
      </w:pPr>
      <w:r w:rsidRPr="002C2764">
        <w:rPr>
          <w:rFonts w:ascii="Arial" w:eastAsia="Times New Roman" w:hAnsi="Arial"/>
          <w:b/>
          <w:sz w:val="20"/>
          <w:szCs w:val="20"/>
          <w:lang w:val="en-GB" w:eastAsia="zh-CN"/>
        </w:rPr>
        <w:t>Source:</w:t>
      </w:r>
      <w:r w:rsidRPr="002C2764">
        <w:rPr>
          <w:rFonts w:ascii="Arial" w:eastAsia="Times New Roman" w:hAnsi="Arial"/>
          <w:b/>
          <w:sz w:val="20"/>
          <w:szCs w:val="20"/>
          <w:lang w:val="en-GB" w:eastAsia="zh-CN"/>
        </w:rPr>
        <w:tab/>
        <w:t>Ericsson</w:t>
      </w:r>
    </w:p>
    <w:p w14:paraId="43B88151" w14:textId="77777777" w:rsidR="002C2764" w:rsidRPr="000C4783" w:rsidRDefault="002C2764" w:rsidP="002C2764">
      <w:pPr>
        <w:tabs>
          <w:tab w:val="left" w:pos="1800"/>
          <w:tab w:val="right" w:pos="9360"/>
        </w:tabs>
        <w:overflowPunct w:val="0"/>
        <w:autoSpaceDE w:val="0"/>
        <w:autoSpaceDN w:val="0"/>
        <w:adjustRightInd w:val="0"/>
        <w:spacing w:after="0"/>
        <w:jc w:val="both"/>
        <w:textAlignment w:val="baseline"/>
        <w:rPr>
          <w:rFonts w:ascii="Arial" w:eastAsia="Times New Roman" w:hAnsi="Arial"/>
          <w:b/>
          <w:sz w:val="20"/>
          <w:szCs w:val="20"/>
          <w:lang w:eastAsia="x-none"/>
        </w:rPr>
      </w:pPr>
      <w:r w:rsidRPr="002C2764">
        <w:rPr>
          <w:rFonts w:ascii="Arial" w:eastAsia="Times New Roman" w:hAnsi="Arial"/>
          <w:b/>
          <w:sz w:val="20"/>
          <w:szCs w:val="20"/>
          <w:lang w:val="en-GB" w:eastAsia="zh-CN"/>
        </w:rPr>
        <w:t>Title:</w:t>
      </w:r>
      <w:r w:rsidRPr="002C2764">
        <w:rPr>
          <w:rFonts w:ascii="Arial" w:eastAsia="Times New Roman" w:hAnsi="Arial"/>
          <w:b/>
          <w:sz w:val="20"/>
          <w:szCs w:val="20"/>
          <w:lang w:val="en-GB" w:eastAsia="zh-CN"/>
        </w:rPr>
        <w:tab/>
      </w:r>
      <w:r w:rsidRPr="000C4783">
        <w:rPr>
          <w:rFonts w:ascii="Arial" w:eastAsia="Times New Roman" w:hAnsi="Arial"/>
          <w:b/>
          <w:sz w:val="20"/>
          <w:szCs w:val="20"/>
          <w:lang w:val="en-GB" w:eastAsia="zh-CN"/>
        </w:rPr>
        <w:t>Evaluation results for CLI mitigation schemes</w:t>
      </w:r>
    </w:p>
    <w:p w14:paraId="1845DA44" w14:textId="312C2463" w:rsidR="002C2764" w:rsidRPr="002C2764" w:rsidRDefault="00E75DC6" w:rsidP="002C2764">
      <w:pPr>
        <w:tabs>
          <w:tab w:val="left" w:pos="1800"/>
          <w:tab w:val="right" w:pos="9360"/>
        </w:tabs>
        <w:overflowPunct w:val="0"/>
        <w:autoSpaceDE w:val="0"/>
        <w:autoSpaceDN w:val="0"/>
        <w:adjustRightInd w:val="0"/>
        <w:spacing w:after="0"/>
        <w:jc w:val="both"/>
        <w:textAlignment w:val="baseline"/>
        <w:rPr>
          <w:rFonts w:ascii="Arial" w:eastAsia="Times New Roman" w:hAnsi="Arial"/>
          <w:b/>
          <w:sz w:val="20"/>
          <w:szCs w:val="20"/>
          <w:lang w:eastAsia="zh-CN"/>
        </w:rPr>
      </w:pPr>
      <w:r w:rsidRPr="000C4783">
        <w:rPr>
          <w:rFonts w:ascii="Arial" w:eastAsia="Times New Roman" w:hAnsi="Arial"/>
          <w:b/>
          <w:sz w:val="20"/>
          <w:szCs w:val="20"/>
          <w:lang w:eastAsia="zh-CN"/>
        </w:rPr>
        <w:t>Agenda Item:</w:t>
      </w:r>
      <w:r w:rsidRPr="000C4783">
        <w:rPr>
          <w:rFonts w:ascii="Arial" w:eastAsia="Times New Roman" w:hAnsi="Arial"/>
          <w:b/>
          <w:sz w:val="20"/>
          <w:szCs w:val="20"/>
          <w:lang w:eastAsia="zh-CN"/>
        </w:rPr>
        <w:tab/>
        <w:t>7.2.5.5</w:t>
      </w:r>
    </w:p>
    <w:p w14:paraId="4AD33460" w14:textId="77777777" w:rsidR="00CB7F9A" w:rsidRPr="002C2764" w:rsidRDefault="002C2764" w:rsidP="002C2764">
      <w:pPr>
        <w:tabs>
          <w:tab w:val="left" w:pos="1800"/>
          <w:tab w:val="right" w:pos="9360"/>
        </w:tabs>
        <w:overflowPunct w:val="0"/>
        <w:autoSpaceDE w:val="0"/>
        <w:autoSpaceDN w:val="0"/>
        <w:adjustRightInd w:val="0"/>
        <w:spacing w:after="0"/>
        <w:jc w:val="both"/>
        <w:textAlignment w:val="baseline"/>
        <w:rPr>
          <w:rFonts w:ascii="Arial" w:hAnsi="Arial" w:cs="Arial"/>
          <w:lang w:val="en-GB"/>
        </w:rPr>
      </w:pPr>
      <w:r w:rsidRPr="002C2764">
        <w:rPr>
          <w:rFonts w:ascii="Arial" w:eastAsia="Times New Roman" w:hAnsi="Arial"/>
          <w:b/>
          <w:sz w:val="20"/>
          <w:szCs w:val="20"/>
          <w:lang w:val="en-GB" w:eastAsia="zh-CN"/>
        </w:rPr>
        <w:t>Document for:</w:t>
      </w:r>
      <w:r w:rsidRPr="002C2764">
        <w:rPr>
          <w:rFonts w:ascii="Arial" w:eastAsia="Times New Roman" w:hAnsi="Arial"/>
          <w:b/>
          <w:sz w:val="20"/>
          <w:szCs w:val="20"/>
          <w:lang w:val="en-GB" w:eastAsia="zh-CN"/>
        </w:rPr>
        <w:tab/>
        <w:t>Discussion and Decision</w:t>
      </w:r>
    </w:p>
    <w:p w14:paraId="238D2044" w14:textId="77777777" w:rsidR="00E250A8" w:rsidRDefault="00E250A8" w:rsidP="00800BEC">
      <w:pPr>
        <w:pStyle w:val="Heading1"/>
        <w:jc w:val="both"/>
      </w:pPr>
      <w:r w:rsidRPr="000E610D">
        <w:t>Introduction</w:t>
      </w:r>
    </w:p>
    <w:p w14:paraId="781B9EED" w14:textId="06061CED" w:rsidR="00CB7F9A" w:rsidRPr="00CB7F9A" w:rsidRDefault="00E75DC6" w:rsidP="00800BEC">
      <w:pPr>
        <w:jc w:val="both"/>
      </w:pPr>
      <w:r>
        <w:t>In the CLI WI, UE-to-UE CLI measurements are to be introduced to facilitate CLI mitigation mechanisms in dynamic TDD scenarios. However, as was also heavily discussed in the Rel-15 WI, it is difficult to observe large performance gain with even ideal CLI mitigation in realistic scenarios. In this contribution, we re-cap some of our previous evaluation results for</w:t>
      </w:r>
      <w:r w:rsidR="007424E0">
        <w:t xml:space="preserve"> CLI mitigation for dynamic TDD.</w:t>
      </w:r>
    </w:p>
    <w:p w14:paraId="25D1B083" w14:textId="40D170AB" w:rsidR="004439EC" w:rsidRPr="004439EC" w:rsidRDefault="00CB7F9A" w:rsidP="00084934">
      <w:pPr>
        <w:pStyle w:val="Heading1"/>
        <w:jc w:val="both"/>
      </w:pPr>
      <w:r>
        <w:t>Discussion</w:t>
      </w:r>
    </w:p>
    <w:p w14:paraId="4088F608" w14:textId="77777777" w:rsidR="00CB7F9A" w:rsidRDefault="00D93B00" w:rsidP="00800BEC">
      <w:pPr>
        <w:pStyle w:val="Heading2"/>
        <w:jc w:val="both"/>
      </w:pPr>
      <w:r>
        <w:t>Simulation assumptions</w:t>
      </w:r>
    </w:p>
    <w:p w14:paraId="615378C1" w14:textId="033ECBEA" w:rsidR="0002329C" w:rsidRDefault="008F1727" w:rsidP="00F322D0">
      <w:pPr>
        <w:jc w:val="both"/>
      </w:pPr>
      <w:r>
        <w:t xml:space="preserve">The system level simulations </w:t>
      </w:r>
      <w:r w:rsidR="00E75DC6">
        <w:t xml:space="preserve">presented herein </w:t>
      </w:r>
      <w:r>
        <w:t>are performed according to the agreed evaluation assumptions</w:t>
      </w:r>
      <w:r w:rsidR="00E75DC6">
        <w:t xml:space="preserve"> for the NR SI</w:t>
      </w:r>
      <w:r w:rsidR="00786937">
        <w:t xml:space="preserve"> as described in </w:t>
      </w:r>
      <w:r w:rsidR="00786937">
        <w:fldChar w:fldCharType="begin"/>
      </w:r>
      <w:r w:rsidR="00786937">
        <w:instrText xml:space="preserve"> REF _Ref464832324 \n \h  \* MERGEFORMAT </w:instrText>
      </w:r>
      <w:r w:rsidR="00786937">
        <w:fldChar w:fldCharType="separate"/>
      </w:r>
      <w:r w:rsidR="00786937">
        <w:t>[2]</w:t>
      </w:r>
      <w:r w:rsidR="00786937">
        <w:fldChar w:fldCharType="end"/>
      </w:r>
      <w:r w:rsidR="00E75DC6">
        <w:t xml:space="preserve">. </w:t>
      </w:r>
      <w:r w:rsidR="00D32C74">
        <w:t xml:space="preserve">The deployment scenario considered is the </w:t>
      </w:r>
      <w:r>
        <w:t xml:space="preserve">dense urban scenario. </w:t>
      </w:r>
      <w:r w:rsidR="00D66533">
        <w:t xml:space="preserve">Some salient parameters are described in the following. </w:t>
      </w:r>
      <w:r>
        <w:t xml:space="preserve">The macro inter-site distance is 200 meters with an antenna height of 25 meters. </w:t>
      </w:r>
      <w:r w:rsidR="00E75DC6">
        <w:t>21</w:t>
      </w:r>
      <w:r>
        <w:t xml:space="preserve"> macro cells </w:t>
      </w:r>
      <w:r w:rsidR="0080142E">
        <w:t xml:space="preserve">operating at 4 GHz </w:t>
      </w:r>
      <w:r>
        <w:t xml:space="preserve">are used in the evaluation with three micro cells </w:t>
      </w:r>
      <w:r w:rsidR="0080142E">
        <w:t>operating at 30 GHz in the coverage area of each micro cell</w:t>
      </w:r>
      <w:r w:rsidR="00D32C74">
        <w:t>.</w:t>
      </w:r>
      <w:r w:rsidR="001002E2">
        <w:t xml:space="preserve"> </w:t>
      </w:r>
      <w:r w:rsidR="0002329C">
        <w:t xml:space="preserve">The micro-cells have an antenna height of 10 meters and are located at the hotspot edge and pointed towards the center of the hotspot. Thus, there are a total of 63 hotspots in the evaluation with a radius of 15 meters each. A total of 1260 users are distributed throughout the network with 2/3 in hotspots and 1/3 outside hotspots. </w:t>
      </w:r>
      <w:r w:rsidR="00C3094B">
        <w:t>80%</w:t>
      </w:r>
      <w:r w:rsidR="00D66533">
        <w:t xml:space="preserve"> of the users are indoors and </w:t>
      </w:r>
      <w:r w:rsidR="00C3094B">
        <w:t>20%</w:t>
      </w:r>
      <w:r w:rsidR="00D66533">
        <w:t xml:space="preserve"> of </w:t>
      </w:r>
      <w:r w:rsidR="00C3094B">
        <w:t xml:space="preserve">the </w:t>
      </w:r>
      <w:r w:rsidR="00D66533">
        <w:t xml:space="preserve">users are outdoors (in cars). The indoor users are distributed </w:t>
      </w:r>
      <w:r w:rsidR="00C3094B">
        <w:t>over 8</w:t>
      </w:r>
      <w:r w:rsidR="002A775C">
        <w:t xml:space="preserve"> floors</w:t>
      </w:r>
      <w:r w:rsidR="00D66533">
        <w:t xml:space="preserve">. </w:t>
      </w:r>
    </w:p>
    <w:p w14:paraId="5A4C7AE0" w14:textId="77777777" w:rsidR="00D32C74" w:rsidRDefault="00D66533" w:rsidP="00F322D0">
      <w:pPr>
        <w:jc w:val="both"/>
      </w:pPr>
      <w:r>
        <w:t>At the macro, 128</w:t>
      </w:r>
      <w:r w:rsidR="00AE70CB">
        <w:t xml:space="preserve"> antenna elements </w:t>
      </w:r>
      <w:r>
        <w:t>are assumed per</w:t>
      </w:r>
      <w:r w:rsidR="00AE377F">
        <w:t xml:space="preserve"> panel</w:t>
      </w:r>
      <w:r>
        <w:t>. For the micro, 64 antenna elem</w:t>
      </w:r>
      <w:r w:rsidR="00AE377F">
        <w:t>ents are assumed per panel which is a 2x2 panel</w:t>
      </w:r>
      <w:r w:rsidR="001002E2">
        <w:t>.</w:t>
      </w:r>
      <w:r w:rsidR="00AE377F">
        <w:t xml:space="preserve"> For the UE 16 antenna elements are assumed per panel with two panels at the UE, one on each side.</w:t>
      </w:r>
      <w:r w:rsidR="001002E2">
        <w:t xml:space="preserve"> </w:t>
      </w:r>
      <w:r w:rsidR="003B5C0D">
        <w:t xml:space="preserve">More details on simulation assumptions are provided in </w:t>
      </w:r>
      <w:r w:rsidR="00DC0023">
        <w:fldChar w:fldCharType="begin"/>
      </w:r>
      <w:r w:rsidR="00DC0023">
        <w:instrText xml:space="preserve"> REF _Ref466070001 \h </w:instrText>
      </w:r>
      <w:r w:rsidR="00F322D0">
        <w:instrText xml:space="preserve"> \* MERGEFORMAT </w:instrText>
      </w:r>
      <w:r w:rsidR="00DC0023">
        <w:fldChar w:fldCharType="separate"/>
      </w:r>
      <w:r w:rsidR="00DC0023">
        <w:t xml:space="preserve">Table </w:t>
      </w:r>
      <w:r w:rsidR="00DC0023">
        <w:rPr>
          <w:noProof/>
        </w:rPr>
        <w:t>1</w:t>
      </w:r>
      <w:r w:rsidR="00DC0023">
        <w:fldChar w:fldCharType="end"/>
      </w:r>
      <w:r w:rsidR="00DC0023">
        <w:t xml:space="preserve"> in </w:t>
      </w:r>
      <w:r w:rsidR="00646594">
        <w:t xml:space="preserve">the </w:t>
      </w:r>
      <w:r w:rsidR="003B5C0D">
        <w:t>Appendix.</w:t>
      </w:r>
      <w:r w:rsidR="00582E37">
        <w:t xml:space="preserve"> </w:t>
      </w:r>
    </w:p>
    <w:p w14:paraId="4312B965" w14:textId="77777777" w:rsidR="00AB2FDD" w:rsidRDefault="00646594" w:rsidP="00F322D0">
      <w:pPr>
        <w:jc w:val="both"/>
      </w:pPr>
      <w:r>
        <w:t>T</w:t>
      </w:r>
      <w:r w:rsidR="007B09DD">
        <w:t xml:space="preserve">he </w:t>
      </w:r>
      <w:r w:rsidR="003C0841">
        <w:t xml:space="preserve">following </w:t>
      </w:r>
      <w:r w:rsidR="00AB2FDD">
        <w:t>TDD options</w:t>
      </w:r>
      <w:r w:rsidR="003C0841">
        <w:t xml:space="preserve"> are considered for the system level evaluations</w:t>
      </w:r>
      <w:r w:rsidR="00AB2FDD">
        <w:t>:</w:t>
      </w:r>
    </w:p>
    <w:p w14:paraId="405F1F40" w14:textId="5B3749C8" w:rsidR="00AB2FDD" w:rsidRDefault="007424E0" w:rsidP="007937F6">
      <w:pPr>
        <w:numPr>
          <w:ilvl w:val="0"/>
          <w:numId w:val="16"/>
        </w:numPr>
        <w:jc w:val="both"/>
      </w:pPr>
      <w:r>
        <w:t xml:space="preserve">Case 1: </w:t>
      </w:r>
      <w:r w:rsidR="00AB2FDD">
        <w:t>Dynamic TDD</w:t>
      </w:r>
    </w:p>
    <w:p w14:paraId="1C3E9FA3" w14:textId="77777777" w:rsidR="003676E0" w:rsidRDefault="003C0841" w:rsidP="00800BEC">
      <w:pPr>
        <w:ind w:left="360"/>
        <w:jc w:val="both"/>
      </w:pPr>
      <w:r>
        <w:t>A TDD scheme where</w:t>
      </w:r>
      <w:r w:rsidR="003676E0">
        <w:t xml:space="preserve"> the direction of transmission is not fixed on any resource in a static or semi-static manner</w:t>
      </w:r>
      <w:r>
        <w:t xml:space="preserve"> and can be changed dynamically between DL and UL. In the evaluation, depending on the incoming traffic and the scheduler decision</w:t>
      </w:r>
      <w:r w:rsidR="00646594">
        <w:t>,</w:t>
      </w:r>
      <w:r>
        <w:t xml:space="preserve"> any slot can carry DL or UL traffic. </w:t>
      </w:r>
    </w:p>
    <w:p w14:paraId="297EEB56" w14:textId="77777777" w:rsidR="00AB2FDD" w:rsidRDefault="003C0841" w:rsidP="00800BEC">
      <w:pPr>
        <w:ind w:left="360"/>
        <w:jc w:val="both"/>
      </w:pPr>
      <w:r>
        <w:t>Operation based on dynamic TDD</w:t>
      </w:r>
      <w:r w:rsidR="003676E0">
        <w:t xml:space="preserve"> is expected to cause so-called cross-link interference where the dominant interference for a transmission in one direction (e.g., downlink) is caused by another transmission in the other direction (e.g., uplink).</w:t>
      </w:r>
    </w:p>
    <w:p w14:paraId="051701C9" w14:textId="0D1C7F6C" w:rsidR="00AB2FDD" w:rsidRDefault="007424E0" w:rsidP="00F322D0">
      <w:pPr>
        <w:numPr>
          <w:ilvl w:val="0"/>
          <w:numId w:val="16"/>
        </w:numPr>
        <w:jc w:val="both"/>
      </w:pPr>
      <w:r>
        <w:t xml:space="preserve">Case 2: </w:t>
      </w:r>
      <w:r w:rsidR="005740E5">
        <w:t>Static</w:t>
      </w:r>
      <w:r w:rsidR="00AB2FDD">
        <w:t xml:space="preserve"> TDD</w:t>
      </w:r>
    </w:p>
    <w:p w14:paraId="5EAC30B1" w14:textId="77777777" w:rsidR="00AB2FDD" w:rsidRDefault="003676E0" w:rsidP="00F322D0">
      <w:pPr>
        <w:ind w:left="360"/>
        <w:jc w:val="both"/>
      </w:pPr>
      <w:r>
        <w:t>A</w:t>
      </w:r>
      <w:r w:rsidR="003C0841">
        <w:t xml:space="preserve"> coordinated</w:t>
      </w:r>
      <w:r>
        <w:t xml:space="preserve"> TDD </w:t>
      </w:r>
      <w:r w:rsidR="003C0841">
        <w:t xml:space="preserve">scheme where the DL:UL ratio </w:t>
      </w:r>
      <w:r w:rsidR="0082197E">
        <w:t xml:space="preserve">for the allocated slots </w:t>
      </w:r>
      <w:r w:rsidR="003C0841">
        <w:t>is</w:t>
      </w:r>
      <w:r>
        <w:t xml:space="preserve"> fixed for some </w:t>
      </w:r>
      <w:proofErr w:type="gramStart"/>
      <w:r>
        <w:t>period of time</w:t>
      </w:r>
      <w:proofErr w:type="gramEnd"/>
      <w:r>
        <w:t xml:space="preserve"> and the same DL:UL ratio is used by all nodes in the network.</w:t>
      </w:r>
      <w:r w:rsidR="003C0841">
        <w:t xml:space="preserve"> </w:t>
      </w:r>
      <w:r w:rsidR="00582E37">
        <w:t xml:space="preserve">This scheme is equivalent to the traditional legacy TDD. </w:t>
      </w:r>
      <w:r w:rsidR="0082197E">
        <w:t xml:space="preserve">In other words, the number of DL slots followed by </w:t>
      </w:r>
      <w:r w:rsidR="003C0841">
        <w:t>UL slot</w:t>
      </w:r>
      <w:r w:rsidR="0082197E">
        <w:t>s are the same and synchronous</w:t>
      </w:r>
      <w:r w:rsidR="003C0841">
        <w:t xml:space="preserve"> across all the nodes in the network.</w:t>
      </w:r>
    </w:p>
    <w:p w14:paraId="0ED4EABE" w14:textId="1B218609" w:rsidR="003C0841" w:rsidRDefault="0082197E" w:rsidP="007937F6">
      <w:pPr>
        <w:ind w:left="360"/>
        <w:jc w:val="both"/>
      </w:pPr>
      <w:r>
        <w:lastRenderedPageBreak/>
        <w:t xml:space="preserve">Operation based on </w:t>
      </w:r>
      <w:r w:rsidR="00646594">
        <w:t>s</w:t>
      </w:r>
      <w:r>
        <w:t>tatic</w:t>
      </w:r>
      <w:r w:rsidR="003C0841">
        <w:t xml:space="preserve"> TDD is immune to so-called cross-link interference while the </w:t>
      </w:r>
      <w:r w:rsidR="00646594">
        <w:t xml:space="preserve">DL to UL ratio for the allocated slots </w:t>
      </w:r>
      <w:r w:rsidR="003C0841">
        <w:t xml:space="preserve">follows a static or semi-static structure </w:t>
      </w:r>
      <w:r w:rsidR="00646594">
        <w:t xml:space="preserve">that is matched to the </w:t>
      </w:r>
      <w:r w:rsidR="00C3094B">
        <w:t>long-</w:t>
      </w:r>
      <w:r w:rsidR="00646594">
        <w:t>term statistics of the incoming DL to UL traffic ratio</w:t>
      </w:r>
      <w:r w:rsidR="003C0841">
        <w:t>.</w:t>
      </w:r>
    </w:p>
    <w:p w14:paraId="193E38D8" w14:textId="61EB14DF" w:rsidR="00436748" w:rsidRDefault="007424E0" w:rsidP="00436748">
      <w:pPr>
        <w:numPr>
          <w:ilvl w:val="0"/>
          <w:numId w:val="16"/>
        </w:numPr>
        <w:jc w:val="both"/>
      </w:pPr>
      <w:r>
        <w:t xml:space="preserve">Case 3: </w:t>
      </w:r>
      <w:r w:rsidR="00436748">
        <w:t>Hybrid dynamic and static TDD</w:t>
      </w:r>
      <w:r w:rsidR="000C7877">
        <w:t xml:space="preserve"> at macro cells</w:t>
      </w:r>
      <w:r w:rsidR="00436748">
        <w:t xml:space="preserve"> with intra-site coordination of macro cells</w:t>
      </w:r>
    </w:p>
    <w:p w14:paraId="03176454" w14:textId="77777777" w:rsidR="00436748" w:rsidRDefault="00436748" w:rsidP="00436748">
      <w:pPr>
        <w:ind w:left="360"/>
        <w:jc w:val="both"/>
      </w:pPr>
      <w:r>
        <w:t xml:space="preserve">A hybrid scheme where dynamic TDD is used at the macro cells unless there is traffic in </w:t>
      </w:r>
      <w:r w:rsidR="000C7877">
        <w:t xml:space="preserve">opposite directions to be scheduled in the </w:t>
      </w:r>
      <w:r>
        <w:t>macro cells at the same s</w:t>
      </w:r>
      <w:r w:rsidR="000C7877">
        <w:t>ite, in which case, the macro cell is switched to a fixed TDD scheme with a fixed DL:UL ratio. The DL:UL ratio used is the same for all macro cells in the network.</w:t>
      </w:r>
    </w:p>
    <w:p w14:paraId="3370A449" w14:textId="1552FF18" w:rsidR="00D2426B" w:rsidRDefault="007424E0" w:rsidP="005C00B9">
      <w:pPr>
        <w:numPr>
          <w:ilvl w:val="0"/>
          <w:numId w:val="16"/>
        </w:numPr>
        <w:jc w:val="both"/>
      </w:pPr>
      <w:r>
        <w:t xml:space="preserve">Case 4: </w:t>
      </w:r>
      <w:r w:rsidR="005C00B9">
        <w:t xml:space="preserve">Hybrid dynamic and static TDD at macro cells with intra-site coordination of macro cells and </w:t>
      </w:r>
      <w:r w:rsidR="005C00B9" w:rsidRPr="00E75DC6">
        <w:rPr>
          <w:i/>
        </w:rPr>
        <w:t xml:space="preserve">with ideal interference cancellation </w:t>
      </w:r>
      <w:r w:rsidR="005C00B9">
        <w:t>of two closest interfering macro-cells from other sites</w:t>
      </w:r>
    </w:p>
    <w:p w14:paraId="035B6017" w14:textId="5FD72C5F" w:rsidR="005C00B9" w:rsidRDefault="005C00B9" w:rsidP="005C00B9">
      <w:pPr>
        <w:ind w:left="360"/>
        <w:jc w:val="both"/>
      </w:pPr>
      <w:r>
        <w:t>Here, in addition to the intra-site coordination described in the previous scheme, ideal cancellation of the interference from the two closest macro cells from neighboring sites that are pointed towards this cell is assumed.</w:t>
      </w:r>
      <w:r w:rsidR="00E75DC6">
        <w:t xml:space="preserve"> This scheme can thus </w:t>
      </w:r>
      <w:proofErr w:type="gramStart"/>
      <w:r w:rsidR="00E75DC6">
        <w:t>be seen as</w:t>
      </w:r>
      <w:proofErr w:type="gramEnd"/>
      <w:r w:rsidR="00E75DC6">
        <w:t xml:space="preserve"> an upper bound to a realistic CLI mitigation scheme based on UE-to-UE CLI measurements.</w:t>
      </w:r>
    </w:p>
    <w:p w14:paraId="5CCE0FE0" w14:textId="1964AF2B" w:rsidR="007424E0" w:rsidRDefault="007424E0" w:rsidP="007424E0">
      <w:pPr>
        <w:jc w:val="both"/>
        <w:rPr>
          <w:b/>
        </w:rPr>
      </w:pPr>
      <w:r w:rsidRPr="007424E0">
        <w:rPr>
          <w:b/>
        </w:rPr>
        <w:t>Observation:</w:t>
      </w:r>
    </w:p>
    <w:p w14:paraId="46A0D3F8" w14:textId="404F6F91" w:rsidR="007424E0" w:rsidRPr="007424E0" w:rsidRDefault="007424E0" w:rsidP="007424E0">
      <w:pPr>
        <w:numPr>
          <w:ilvl w:val="1"/>
          <w:numId w:val="16"/>
        </w:numPr>
        <w:jc w:val="both"/>
      </w:pPr>
      <w:r w:rsidRPr="007424E0">
        <w:t>Case 3</w:t>
      </w:r>
      <w:r>
        <w:t xml:space="preserve"> incorporates a practical CLI mitigation scheme which does not require UE-to-UE CLI measurements or inter-site coordination </w:t>
      </w:r>
    </w:p>
    <w:p w14:paraId="5C750910" w14:textId="438AAF32" w:rsidR="007424E0" w:rsidRPr="007424E0" w:rsidRDefault="007424E0" w:rsidP="007424E0">
      <w:pPr>
        <w:numPr>
          <w:ilvl w:val="1"/>
          <w:numId w:val="16"/>
        </w:numPr>
        <w:jc w:val="both"/>
      </w:pPr>
      <w:r>
        <w:t xml:space="preserve">Case 4 </w:t>
      </w:r>
      <w:proofErr w:type="gramStart"/>
      <w:r>
        <w:t>can be seen as</w:t>
      </w:r>
      <w:proofErr w:type="gramEnd"/>
      <w:r>
        <w:t xml:space="preserve"> an upper bound for the performance of realistic CLI mitigation scheme based on UE-to-UE CLI measurements </w:t>
      </w:r>
    </w:p>
    <w:p w14:paraId="483FC12D" w14:textId="577E1E8D" w:rsidR="004A6C9B" w:rsidRDefault="00582E37" w:rsidP="00570EEB">
      <w:pPr>
        <w:jc w:val="both"/>
      </w:pPr>
      <w:r>
        <w:t>The simulations are carried out for the case wi</w:t>
      </w:r>
      <w:r w:rsidR="0082197E">
        <w:t xml:space="preserve">th heavy DL traffic assuming </w:t>
      </w:r>
      <w:proofErr w:type="gramStart"/>
      <w:r w:rsidR="0082197E">
        <w:t>DL:UL</w:t>
      </w:r>
      <w:proofErr w:type="gramEnd"/>
      <w:r w:rsidR="0082197E">
        <w:t xml:space="preserve"> traffic ratio of 4:</w:t>
      </w:r>
      <w:r>
        <w:t xml:space="preserve">1. </w:t>
      </w:r>
      <w:r w:rsidR="004144BA">
        <w:t>For the static TDD scheme, i</w:t>
      </w:r>
      <w:r w:rsidR="0082197E">
        <w:t xml:space="preserve">n the </w:t>
      </w:r>
      <w:r w:rsidR="00646594">
        <w:t>former</w:t>
      </w:r>
      <w:r w:rsidR="0082197E">
        <w:t xml:space="preserve"> case, 4 DL slots are followed by one UL slot synchronously across all the nodes where</w:t>
      </w:r>
      <w:r w:rsidR="00646594">
        <w:t>as</w:t>
      </w:r>
      <w:r w:rsidR="0082197E">
        <w:t xml:space="preserve"> in the </w:t>
      </w:r>
      <w:r w:rsidR="00646594">
        <w:t>latter</w:t>
      </w:r>
      <w:r w:rsidR="0082197E">
        <w:t xml:space="preserve"> case every other slot is DL or UL in a synchronous manner across all the nodes. </w:t>
      </w:r>
      <w:r w:rsidR="004144BA">
        <w:t xml:space="preserve">A </w:t>
      </w:r>
      <w:r>
        <w:t>pack</w:t>
      </w:r>
      <w:r w:rsidR="00646594">
        <w:t>et</w:t>
      </w:r>
      <w:r w:rsidR="004144BA">
        <w:t xml:space="preserve"> size</w:t>
      </w:r>
      <w:r>
        <w:t xml:space="preserve"> </w:t>
      </w:r>
      <w:r w:rsidR="004144BA">
        <w:t xml:space="preserve">of </w:t>
      </w:r>
      <w:r>
        <w:t>0.5</w:t>
      </w:r>
      <w:r w:rsidR="0082197E">
        <w:t xml:space="preserve"> MB</w:t>
      </w:r>
      <w:r>
        <w:t xml:space="preserve"> </w:t>
      </w:r>
      <w:r w:rsidR="004144BA">
        <w:t xml:space="preserve">is </w:t>
      </w:r>
      <w:r>
        <w:t>considered for FTP traffic.</w:t>
      </w:r>
    </w:p>
    <w:p w14:paraId="50E2BA35" w14:textId="77777777" w:rsidR="004A6C9B" w:rsidRDefault="007E39C6" w:rsidP="00800BEC">
      <w:pPr>
        <w:pStyle w:val="Heading2"/>
        <w:jc w:val="both"/>
      </w:pPr>
      <w:r>
        <w:t>Simulation results</w:t>
      </w:r>
      <w:r w:rsidR="00524BBE">
        <w:t xml:space="preserve"> and analysis</w:t>
      </w:r>
    </w:p>
    <w:p w14:paraId="250E5B72" w14:textId="46724A97" w:rsidR="00157BE3" w:rsidRPr="006E308A" w:rsidRDefault="00284D9B" w:rsidP="00F322D0">
      <w:pPr>
        <w:jc w:val="both"/>
      </w:pPr>
      <w:r w:rsidRPr="006E308A">
        <w:fldChar w:fldCharType="begin"/>
      </w:r>
      <w:r w:rsidRPr="006E308A">
        <w:instrText xml:space="preserve"> REF _Ref466017869 \h </w:instrText>
      </w:r>
      <w:r w:rsidR="006E308A" w:rsidRPr="006E308A">
        <w:instrText xml:space="preserve"> \* MERGEFORMAT </w:instrText>
      </w:r>
      <w:r w:rsidRPr="006E308A">
        <w:fldChar w:fldCharType="separate"/>
      </w:r>
      <w:r w:rsidRPr="006E308A">
        <w:t xml:space="preserve">Figure </w:t>
      </w:r>
      <w:r w:rsidRPr="006E308A">
        <w:rPr>
          <w:noProof/>
        </w:rPr>
        <w:t>1</w:t>
      </w:r>
      <w:r w:rsidRPr="006E308A">
        <w:fldChar w:fldCharType="end"/>
      </w:r>
      <w:r w:rsidRPr="006E308A">
        <w:t xml:space="preserve"> and </w:t>
      </w:r>
      <w:r w:rsidRPr="006E308A">
        <w:fldChar w:fldCharType="begin"/>
      </w:r>
      <w:r w:rsidRPr="006E308A">
        <w:instrText xml:space="preserve"> REF _Ref466017998 \h </w:instrText>
      </w:r>
      <w:r w:rsidR="006E308A" w:rsidRPr="006E308A">
        <w:instrText xml:space="preserve"> \* MERGEFORMAT </w:instrText>
      </w:r>
      <w:r w:rsidRPr="006E308A">
        <w:fldChar w:fldCharType="separate"/>
      </w:r>
      <w:r w:rsidRPr="006E308A">
        <w:t xml:space="preserve">Figure </w:t>
      </w:r>
      <w:r w:rsidRPr="006E308A">
        <w:rPr>
          <w:noProof/>
        </w:rPr>
        <w:t>2</w:t>
      </w:r>
      <w:r w:rsidRPr="006E308A">
        <w:fldChar w:fldCharType="end"/>
      </w:r>
      <w:r w:rsidRPr="006E308A">
        <w:t xml:space="preserve"> </w:t>
      </w:r>
      <w:r w:rsidR="00157BE3" w:rsidRPr="006E308A">
        <w:t xml:space="preserve"> provide a</w:t>
      </w:r>
      <w:r w:rsidRPr="006E308A">
        <w:t>n overview</w:t>
      </w:r>
      <w:r w:rsidR="00157BE3" w:rsidRPr="006E308A">
        <w:t xml:space="preserve"> </w:t>
      </w:r>
      <w:r w:rsidR="001F3A55">
        <w:t xml:space="preserve">of the performance </w:t>
      </w:r>
      <w:r w:rsidR="00AC308E">
        <w:t xml:space="preserve">comparison between </w:t>
      </w:r>
      <w:r w:rsidR="00157BE3" w:rsidRPr="006E308A">
        <w:t xml:space="preserve">the dynamic </w:t>
      </w:r>
      <w:r w:rsidR="00AC308E">
        <w:t xml:space="preserve">TDD scheme, </w:t>
      </w:r>
      <w:r w:rsidRPr="006E308A">
        <w:t>static TDD scheme</w:t>
      </w:r>
      <w:r w:rsidR="00AC308E">
        <w:t xml:space="preserve">, </w:t>
      </w:r>
      <w:r w:rsidR="00FE7644">
        <w:t xml:space="preserve">hybrid </w:t>
      </w:r>
      <w:r w:rsidR="00AC308E">
        <w:t>dynamic</w:t>
      </w:r>
      <w:r w:rsidR="00E75DC6">
        <w:t>/</w:t>
      </w:r>
      <w:r w:rsidR="00FE7644">
        <w:t>static</w:t>
      </w:r>
      <w:r w:rsidR="00AC308E">
        <w:t xml:space="preserve"> TDD with intra-site coordination and </w:t>
      </w:r>
      <w:r w:rsidR="00FE7644">
        <w:t xml:space="preserve">hybrid </w:t>
      </w:r>
      <w:r w:rsidR="00AC308E">
        <w:t>dynamic</w:t>
      </w:r>
      <w:r w:rsidR="00E75DC6">
        <w:t>/</w:t>
      </w:r>
      <w:r w:rsidR="00FE7644">
        <w:t>static</w:t>
      </w:r>
      <w:r w:rsidR="00AC308E">
        <w:t xml:space="preserve"> TDD with intra-site coordination and </w:t>
      </w:r>
      <w:r w:rsidR="00AC308E" w:rsidRPr="00E75DC6">
        <w:rPr>
          <w:i/>
        </w:rPr>
        <w:t>ideal interference cancellation</w:t>
      </w:r>
      <w:r w:rsidR="00AC308E">
        <w:t xml:space="preserve"> schemes described in the previous section. The </w:t>
      </w:r>
      <w:r w:rsidR="007424E0">
        <w:t xml:space="preserve">DL </w:t>
      </w:r>
      <w:proofErr w:type="gramStart"/>
      <w:r w:rsidRPr="006E308A">
        <w:t>mea</w:t>
      </w:r>
      <w:r w:rsidR="00AC308E">
        <w:t>n</w:t>
      </w:r>
      <w:proofErr w:type="gramEnd"/>
      <w:r w:rsidR="00AC308E">
        <w:t xml:space="preserve"> and cell-edge user throughput</w:t>
      </w:r>
      <w:r w:rsidR="00952ED7">
        <w:t xml:space="preserve"> of Macro layer users</w:t>
      </w:r>
      <w:r w:rsidR="00AC308E">
        <w:t xml:space="preserve"> are reported</w:t>
      </w:r>
      <w:r w:rsidRPr="006E308A">
        <w:t xml:space="preserve"> </w:t>
      </w:r>
      <w:r w:rsidR="00D75970">
        <w:t>for asymmetric traffic between DL and UL</w:t>
      </w:r>
      <w:r w:rsidR="00952ED7" w:rsidRPr="00952ED7">
        <w:t xml:space="preserve"> </w:t>
      </w:r>
      <w:r w:rsidR="00952ED7">
        <w:t>focusing UE to UE interference issues in proximity at the same frequency</w:t>
      </w:r>
      <w:r w:rsidR="00392393" w:rsidRPr="006E308A">
        <w:t xml:space="preserve">. </w:t>
      </w:r>
      <w:r w:rsidRPr="006E308A">
        <w:t xml:space="preserve">In order to base the comparison on realistic operational loads, the ratio of the served traffic over offered traffic for the TDD schemes is also provided in </w:t>
      </w:r>
      <w:r w:rsidRPr="006E308A">
        <w:fldChar w:fldCharType="begin"/>
      </w:r>
      <w:r w:rsidRPr="006E308A">
        <w:instrText xml:space="preserve"> REF _Ref466017872 \h </w:instrText>
      </w:r>
      <w:r w:rsidR="006E308A" w:rsidRPr="006E308A">
        <w:instrText xml:space="preserve"> \* MERGEFORMAT </w:instrText>
      </w:r>
      <w:r w:rsidRPr="006E308A">
        <w:fldChar w:fldCharType="separate"/>
      </w:r>
      <w:r w:rsidRPr="006E308A">
        <w:t xml:space="preserve">Figure </w:t>
      </w:r>
      <w:r w:rsidRPr="006E308A">
        <w:rPr>
          <w:noProof/>
        </w:rPr>
        <w:t>3</w:t>
      </w:r>
      <w:r w:rsidRPr="006E308A">
        <w:fldChar w:fldCharType="end"/>
      </w:r>
      <w:r w:rsidR="00AC308E">
        <w:t xml:space="preserve"> for the </w:t>
      </w:r>
      <w:r w:rsidRPr="006E308A">
        <w:t xml:space="preserve">which can be used to </w:t>
      </w:r>
      <w:r w:rsidR="00A65AD7">
        <w:t>identify</w:t>
      </w:r>
      <w:r w:rsidRPr="006E308A">
        <w:t xml:space="preserve"> if the system is stable or not. </w:t>
      </w:r>
    </w:p>
    <w:p w14:paraId="32D6F63D" w14:textId="1C66E5DC" w:rsidR="00F410F7" w:rsidRDefault="000C4783" w:rsidP="009C75D2">
      <w:pPr>
        <w:ind w:left="-270" w:right="-517"/>
        <w:jc w:val="center"/>
      </w:pPr>
      <w:r>
        <w:lastRenderedPageBreak/>
        <w:pict w14:anchorId="60A0E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87.35pt">
            <v:imagedata r:id="rId11" o:title=""/>
          </v:shape>
        </w:pict>
      </w:r>
    </w:p>
    <w:p w14:paraId="7BB1431F" w14:textId="07155461" w:rsidR="00F410F7" w:rsidRDefault="00F410F7" w:rsidP="00800BEC">
      <w:pPr>
        <w:pStyle w:val="Caption"/>
        <w:jc w:val="both"/>
      </w:pPr>
      <w:bookmarkStart w:id="0" w:name="_Ref466017869"/>
      <w:r>
        <w:t xml:space="preserve">Figure </w:t>
      </w:r>
      <w:r w:rsidR="00FF5338">
        <w:rPr>
          <w:noProof/>
        </w:rPr>
        <w:fldChar w:fldCharType="begin"/>
      </w:r>
      <w:r w:rsidR="00FF5338">
        <w:rPr>
          <w:noProof/>
        </w:rPr>
        <w:instrText xml:space="preserve"> SEQ Figure \* ARABIC </w:instrText>
      </w:r>
      <w:r w:rsidR="00FF5338">
        <w:rPr>
          <w:noProof/>
        </w:rPr>
        <w:fldChar w:fldCharType="separate"/>
      </w:r>
      <w:r>
        <w:rPr>
          <w:noProof/>
        </w:rPr>
        <w:t>1</w:t>
      </w:r>
      <w:r w:rsidR="00FF5338">
        <w:rPr>
          <w:noProof/>
        </w:rPr>
        <w:fldChar w:fldCharType="end"/>
      </w:r>
      <w:bookmarkEnd w:id="0"/>
      <w:r>
        <w:t>:</w:t>
      </w:r>
      <w:r w:rsidRPr="00F410F7">
        <w:t xml:space="preserve"> </w:t>
      </w:r>
      <w:r>
        <w:t xml:space="preserve">The </w:t>
      </w:r>
      <w:r w:rsidR="009C75D2">
        <w:t xml:space="preserve">DL </w:t>
      </w:r>
      <w:r>
        <w:t xml:space="preserve">mean user throughput vs. served traffic per </w:t>
      </w:r>
      <w:r w:rsidR="00F64394">
        <w:t xml:space="preserve">macro cell </w:t>
      </w:r>
      <w:r>
        <w:t xml:space="preserve">for NR </w:t>
      </w:r>
      <w:r w:rsidR="00F64394">
        <w:t xml:space="preserve">Dense Urban </w:t>
      </w:r>
      <w:r>
        <w:t xml:space="preserve">scenario </w:t>
      </w:r>
      <w:r w:rsidR="00F64394">
        <w:t xml:space="preserve">for the macro layer </w:t>
      </w:r>
      <w:r>
        <w:t xml:space="preserve">at 4GHz </w:t>
      </w:r>
      <w:r w:rsidR="004F45B9">
        <w:t>with DL:UL traffic ratio of 4</w:t>
      </w:r>
      <w:r>
        <w:t>:1.</w:t>
      </w:r>
      <w:r w:rsidRPr="00725B7F">
        <w:t xml:space="preserve"> </w:t>
      </w:r>
    </w:p>
    <w:p w14:paraId="5A68E89B" w14:textId="5852CAD4" w:rsidR="00F410F7" w:rsidRDefault="000C4783" w:rsidP="009C75D2">
      <w:pPr>
        <w:ind w:left="-360" w:right="-427"/>
        <w:jc w:val="center"/>
      </w:pPr>
      <w:r>
        <w:pict w14:anchorId="25E2FA3F">
          <v:shape id="_x0000_i1026" type="#_x0000_t75" style="width:252pt;height:187.35pt">
            <v:imagedata r:id="rId12" o:title=""/>
          </v:shape>
        </w:pict>
      </w:r>
    </w:p>
    <w:p w14:paraId="05B07554" w14:textId="08CE0ACC" w:rsidR="00F410F7" w:rsidRDefault="00F410F7" w:rsidP="00800BEC">
      <w:pPr>
        <w:pStyle w:val="Caption"/>
        <w:jc w:val="both"/>
      </w:pPr>
      <w:bookmarkStart w:id="1" w:name="_Ref466017998"/>
      <w:bookmarkStart w:id="2" w:name="_Ref466038005"/>
      <w:r>
        <w:t xml:space="preserve">Figure </w:t>
      </w:r>
      <w:r w:rsidR="00FF5338">
        <w:rPr>
          <w:noProof/>
        </w:rPr>
        <w:fldChar w:fldCharType="begin"/>
      </w:r>
      <w:r w:rsidR="00FF5338">
        <w:rPr>
          <w:noProof/>
        </w:rPr>
        <w:instrText xml:space="preserve"> SEQ Figure \* ARABIC </w:instrText>
      </w:r>
      <w:r w:rsidR="00FF5338">
        <w:rPr>
          <w:noProof/>
        </w:rPr>
        <w:fldChar w:fldCharType="separate"/>
      </w:r>
      <w:r>
        <w:rPr>
          <w:noProof/>
        </w:rPr>
        <w:t>2</w:t>
      </w:r>
      <w:r w:rsidR="00FF5338">
        <w:rPr>
          <w:noProof/>
        </w:rPr>
        <w:fldChar w:fldCharType="end"/>
      </w:r>
      <w:bookmarkEnd w:id="1"/>
      <w:r>
        <w:t xml:space="preserve">: The </w:t>
      </w:r>
      <w:r w:rsidR="009C75D2">
        <w:t xml:space="preserve">DL </w:t>
      </w:r>
      <w:r>
        <w:t>5</w:t>
      </w:r>
      <w:r w:rsidRPr="00725B7F">
        <w:rPr>
          <w:vertAlign w:val="superscript"/>
        </w:rPr>
        <w:t>th</w:t>
      </w:r>
      <w:r>
        <w:t xml:space="preserve">%-ile user throughput vs. served traffic </w:t>
      </w:r>
      <w:r w:rsidR="009A5FE2">
        <w:t xml:space="preserve">per macro cell for NR Dense Urban scenario for the macro layer </w:t>
      </w:r>
      <w:r>
        <w:t xml:space="preserve">at 4GHz </w:t>
      </w:r>
      <w:r w:rsidR="004F45B9">
        <w:t>with DL:UL traffic ratio of 4</w:t>
      </w:r>
      <w:r>
        <w:t>:1.</w:t>
      </w:r>
      <w:r w:rsidRPr="00725B7F">
        <w:t xml:space="preserve"> </w:t>
      </w:r>
      <w:bookmarkEnd w:id="2"/>
    </w:p>
    <w:p w14:paraId="5D91C406" w14:textId="7B3C0CB1" w:rsidR="00F410F7" w:rsidRDefault="000C4783" w:rsidP="009C75D2">
      <w:pPr>
        <w:ind w:left="-360" w:right="-517"/>
        <w:jc w:val="center"/>
      </w:pPr>
      <w:r>
        <w:pict w14:anchorId="16231E7B">
          <v:shape id="_x0000_i1027" type="#_x0000_t75" style="width:252pt;height:187.35pt">
            <v:imagedata r:id="rId13" o:title=""/>
          </v:shape>
        </w:pict>
      </w:r>
    </w:p>
    <w:p w14:paraId="3C19EFF9" w14:textId="6380DEF7" w:rsidR="006D3E3B" w:rsidRDefault="00F410F7" w:rsidP="00800BEC">
      <w:pPr>
        <w:pStyle w:val="Caption"/>
        <w:jc w:val="both"/>
      </w:pPr>
      <w:bookmarkStart w:id="3" w:name="_Ref466017872"/>
      <w:r>
        <w:lastRenderedPageBreak/>
        <w:t xml:space="preserve">Figure </w:t>
      </w:r>
      <w:r w:rsidR="00FF5338">
        <w:rPr>
          <w:noProof/>
        </w:rPr>
        <w:fldChar w:fldCharType="begin"/>
      </w:r>
      <w:r w:rsidR="00FF5338">
        <w:rPr>
          <w:noProof/>
        </w:rPr>
        <w:instrText xml:space="preserve"> SEQ Figure \* ARABIC </w:instrText>
      </w:r>
      <w:r w:rsidR="00FF5338">
        <w:rPr>
          <w:noProof/>
        </w:rPr>
        <w:fldChar w:fldCharType="separate"/>
      </w:r>
      <w:r>
        <w:rPr>
          <w:noProof/>
        </w:rPr>
        <w:t>3</w:t>
      </w:r>
      <w:r w:rsidR="00FF5338">
        <w:rPr>
          <w:noProof/>
        </w:rPr>
        <w:fldChar w:fldCharType="end"/>
      </w:r>
      <w:bookmarkEnd w:id="3"/>
      <w:r>
        <w:t xml:space="preserve">: </w:t>
      </w:r>
      <w:r w:rsidR="009A5FE2">
        <w:t>The ratio of served over offered traffic vs. served traffic per macro cell for NR Dense Urban scenario for the macro layer at 4GHz with DL:UL traffic ratio of 4:1.</w:t>
      </w:r>
      <w:r w:rsidR="009A5FE2" w:rsidRPr="009A5FE2">
        <w:t xml:space="preserve"> </w:t>
      </w:r>
    </w:p>
    <w:p w14:paraId="4A17FC79" w14:textId="79EE0A97" w:rsidR="00380ECB" w:rsidRDefault="00E108B2" w:rsidP="00800BEC">
      <w:pPr>
        <w:keepNext/>
        <w:jc w:val="both"/>
      </w:pPr>
      <w:r>
        <w:t>From the simulation results it can be</w:t>
      </w:r>
      <w:r w:rsidR="007424E0">
        <w:t xml:space="preserve"> first</w:t>
      </w:r>
      <w:r>
        <w:t xml:space="preserve"> observed that </w:t>
      </w:r>
      <w:r w:rsidR="00380ECB">
        <w:t>dynamic TDD improves t</w:t>
      </w:r>
      <w:r w:rsidR="00015FA3">
        <w:t xml:space="preserve">he </w:t>
      </w:r>
      <w:r w:rsidR="00380ECB">
        <w:t xml:space="preserve">downlink </w:t>
      </w:r>
      <w:r w:rsidR="00015FA3">
        <w:t xml:space="preserve">mean and cell edge throughput </w:t>
      </w:r>
      <w:r w:rsidR="00380ECB">
        <w:t xml:space="preserve">as illustrated in </w:t>
      </w:r>
      <w:r w:rsidR="00380ECB">
        <w:fldChar w:fldCharType="begin"/>
      </w:r>
      <w:r w:rsidR="00380ECB">
        <w:instrText xml:space="preserve"> REF _Ref466017869 \h </w:instrText>
      </w:r>
      <w:r w:rsidR="00F322D0">
        <w:instrText xml:space="preserve"> \* MERGEFORMAT </w:instrText>
      </w:r>
      <w:r w:rsidR="00380ECB">
        <w:fldChar w:fldCharType="separate"/>
      </w:r>
      <w:r w:rsidR="00380ECB">
        <w:t xml:space="preserve">Figure </w:t>
      </w:r>
      <w:r w:rsidR="00380ECB">
        <w:rPr>
          <w:noProof/>
        </w:rPr>
        <w:t>1</w:t>
      </w:r>
      <w:r w:rsidR="00380ECB">
        <w:fldChar w:fldCharType="end"/>
      </w:r>
      <w:r w:rsidR="00380ECB">
        <w:t xml:space="preserve"> and </w:t>
      </w:r>
      <w:r w:rsidR="00380ECB">
        <w:fldChar w:fldCharType="begin"/>
      </w:r>
      <w:r w:rsidR="00380ECB">
        <w:instrText xml:space="preserve"> REF _Ref466017998 \h </w:instrText>
      </w:r>
      <w:r w:rsidR="00F322D0">
        <w:instrText xml:space="preserve"> \* MERGEFORMAT </w:instrText>
      </w:r>
      <w:r w:rsidR="00380ECB">
        <w:fldChar w:fldCharType="separate"/>
      </w:r>
      <w:r w:rsidR="00380ECB">
        <w:t xml:space="preserve">Figure </w:t>
      </w:r>
      <w:r w:rsidR="00380ECB">
        <w:rPr>
          <w:noProof/>
        </w:rPr>
        <w:t>2</w:t>
      </w:r>
      <w:r w:rsidR="00380ECB">
        <w:fldChar w:fldCharType="end"/>
      </w:r>
      <w:r w:rsidR="00AC308E">
        <w:t xml:space="preserve"> for low</w:t>
      </w:r>
      <w:r w:rsidR="00380ECB">
        <w:t xml:space="preserve"> </w:t>
      </w:r>
      <w:r w:rsidR="00015FA3">
        <w:t>loads</w:t>
      </w:r>
      <w:r w:rsidR="00380ECB">
        <w:t xml:space="preserve"> as compare</w:t>
      </w:r>
      <w:r w:rsidR="00DD440D">
        <w:t>d</w:t>
      </w:r>
      <w:r w:rsidR="00380ECB">
        <w:t xml:space="preserve"> to the static TDD scheme. As the load in the network increases, the dynamic TDD scheme is outperformed by the static TDD scheme</w:t>
      </w:r>
      <w:r w:rsidR="008F2E26">
        <w:t xml:space="preserve"> in DL performance</w:t>
      </w:r>
      <w:r w:rsidR="00380ECB">
        <w:t xml:space="preserve">. </w:t>
      </w:r>
    </w:p>
    <w:p w14:paraId="6B6B40BA" w14:textId="77777777" w:rsidR="007424E0" w:rsidRDefault="003E5BB0" w:rsidP="00800BEC">
      <w:pPr>
        <w:keepNext/>
        <w:jc w:val="both"/>
        <w:rPr>
          <w:b/>
        </w:rPr>
      </w:pPr>
      <w:r>
        <w:rPr>
          <w:b/>
        </w:rPr>
        <w:t xml:space="preserve">Observation: </w:t>
      </w:r>
    </w:p>
    <w:p w14:paraId="153D7FB5" w14:textId="5A8BB6E9" w:rsidR="00732243" w:rsidRPr="00D24F06" w:rsidRDefault="003E5BB0" w:rsidP="007424E0">
      <w:pPr>
        <w:keepNext/>
        <w:numPr>
          <w:ilvl w:val="1"/>
          <w:numId w:val="16"/>
        </w:numPr>
        <w:jc w:val="both"/>
      </w:pPr>
      <w:r>
        <w:t>For the macro l</w:t>
      </w:r>
      <w:r w:rsidR="00732243">
        <w:t>ayer at 4 GHz, dynamic TDD yields</w:t>
      </w:r>
      <w:r>
        <w:t xml:space="preserve"> </w:t>
      </w:r>
      <w:r w:rsidR="00732243">
        <w:t xml:space="preserve">gains at low loads </w:t>
      </w:r>
      <w:r w:rsidR="009657A4">
        <w:t xml:space="preserve">as </w:t>
      </w:r>
      <w:r w:rsidR="00732243">
        <w:t xml:space="preserve">compared to static </w:t>
      </w:r>
      <w:r w:rsidR="000C4783">
        <w:t>TDD but</w:t>
      </w:r>
      <w:bookmarkStart w:id="4" w:name="_GoBack"/>
      <w:bookmarkEnd w:id="4"/>
      <w:r w:rsidR="00732243">
        <w:t xml:space="preserve"> yields poorer</w:t>
      </w:r>
      <w:r w:rsidR="00952ED7">
        <w:t xml:space="preserve"> DL</w:t>
      </w:r>
      <w:r w:rsidR="00732243">
        <w:t xml:space="preserve"> performance at medium to high loads.</w:t>
      </w:r>
    </w:p>
    <w:p w14:paraId="1DB2CF0A" w14:textId="701FB952" w:rsidR="007424E0" w:rsidRDefault="00E108B2" w:rsidP="00651C53">
      <w:pPr>
        <w:keepNext/>
        <w:jc w:val="both"/>
      </w:pPr>
      <w:r>
        <w:t xml:space="preserve">Comparing the properties of the dynamic and static TDD schemes, </w:t>
      </w:r>
      <w:r w:rsidR="001326D3">
        <w:t xml:space="preserve">in dynamic TDD the scheduler </w:t>
      </w:r>
      <w:r w:rsidR="00903249">
        <w:t xml:space="preserve">has </w:t>
      </w:r>
      <w:r w:rsidR="001326D3">
        <w:t>the</w:t>
      </w:r>
      <w:r w:rsidR="00903249">
        <w:t xml:space="preserve"> flexibility</w:t>
      </w:r>
      <w:r w:rsidR="001326D3">
        <w:t xml:space="preserve"> </w:t>
      </w:r>
      <w:r w:rsidR="00903249">
        <w:t>to</w:t>
      </w:r>
      <w:r w:rsidR="001326D3">
        <w:t xml:space="preserve"> allocat</w:t>
      </w:r>
      <w:r w:rsidR="00903249">
        <w:t>e</w:t>
      </w:r>
      <w:r w:rsidR="001326D3">
        <w:t xml:space="preserve"> resources for DL or UL transmissions based on the incoming DL or UL traffic</w:t>
      </w:r>
      <w:r w:rsidR="00BF68B8">
        <w:t xml:space="preserve">. </w:t>
      </w:r>
      <w:r w:rsidR="000D2EC2">
        <w:t>In that respect</w:t>
      </w:r>
      <w:r w:rsidR="00903249">
        <w:t>,</w:t>
      </w:r>
      <w:r w:rsidR="000D2EC2">
        <w:t xml:space="preserve"> the static TDD scheme suffers from potential delay due to </w:t>
      </w:r>
      <w:r w:rsidR="00250830">
        <w:t xml:space="preserve">the </w:t>
      </w:r>
      <w:r w:rsidR="000D2EC2">
        <w:t xml:space="preserve">fixed resource allocation for DL or UL transmission. On the other hand, the dynamic TDD scheme may potentially suffer from cross-link interference while such interference </w:t>
      </w:r>
      <w:r w:rsidR="00903249">
        <w:t>is</w:t>
      </w:r>
      <w:r w:rsidR="000D2EC2">
        <w:t xml:space="preserve"> absent in the network operating based on the static TDD scheme. </w:t>
      </w:r>
    </w:p>
    <w:p w14:paraId="53056F2F" w14:textId="33D86133" w:rsidR="007424E0" w:rsidRDefault="000D2EC2" w:rsidP="00651C53">
      <w:pPr>
        <w:keepNext/>
        <w:jc w:val="both"/>
      </w:pPr>
      <w:r>
        <w:t>Examini</w:t>
      </w:r>
      <w:r w:rsidR="00130A38">
        <w:t>ng the system performance</w:t>
      </w:r>
      <w:r w:rsidR="00903249">
        <w:t>,</w:t>
      </w:r>
      <w:r w:rsidR="00130A38">
        <w:t xml:space="preserve"> </w:t>
      </w:r>
      <w:proofErr w:type="gramStart"/>
      <w:r w:rsidR="00130A38">
        <w:t>it is clear that</w:t>
      </w:r>
      <w:r w:rsidR="00952ED7">
        <w:t xml:space="preserve"> UE-to-UE</w:t>
      </w:r>
      <w:proofErr w:type="gramEnd"/>
      <w:r w:rsidR="00EB7F7D">
        <w:t xml:space="preserve"> cross-link interference affects the perform</w:t>
      </w:r>
      <w:r w:rsidR="00651C53">
        <w:t>ance of the system except at low</w:t>
      </w:r>
      <w:r w:rsidR="00EB7F7D">
        <w:t xml:space="preserve"> loads</w:t>
      </w:r>
      <w:r w:rsidR="00976D4C">
        <w:t>.</w:t>
      </w:r>
      <w:r w:rsidR="00651C53">
        <w:t xml:space="preserve"> </w:t>
      </w:r>
      <w:r w:rsidR="007424E0">
        <w:t>However, the results show that Case 3, with the practical CLI mitigation scheme based on hybrid TDD, can remedy most of the losses due to CLI by dynamically switching to static TDD pattern based on UL/DL buffer status of the co-sited cells. Adding additional CLI mitigation</w:t>
      </w:r>
      <w:r w:rsidR="00CE2648">
        <w:t xml:space="preserve"> based on UE-to-UE CLI measurements, can even in the ideal case (the evaluated Case 4) only provide limited additional performance gain. With practical CLI mitigation based on actual UE-to-UE measurements, the performance gain is expected to be lower.</w:t>
      </w:r>
    </w:p>
    <w:p w14:paraId="6099AD75" w14:textId="689244CB" w:rsidR="00CE2648" w:rsidRDefault="00CE2648" w:rsidP="00651C53">
      <w:pPr>
        <w:keepNext/>
        <w:jc w:val="both"/>
        <w:rPr>
          <w:b/>
        </w:rPr>
      </w:pPr>
      <w:r w:rsidRPr="00CE2648">
        <w:rPr>
          <w:b/>
        </w:rPr>
        <w:t>Observation:</w:t>
      </w:r>
    </w:p>
    <w:p w14:paraId="4E66087F" w14:textId="5271E8D8" w:rsidR="00CE2648" w:rsidRPr="00CE2648" w:rsidRDefault="00CE2648" w:rsidP="00CE2648">
      <w:pPr>
        <w:keepNext/>
        <w:numPr>
          <w:ilvl w:val="1"/>
          <w:numId w:val="16"/>
        </w:numPr>
        <w:jc w:val="both"/>
        <w:rPr>
          <w:b/>
        </w:rPr>
      </w:pPr>
      <w:r>
        <w:t>Advanced CLI mitigation scheme based on UE-to-UE CLI measurements and inter-site coordination can only bring limited benefit on top of simple CLI mitigation scheme based on switching to static TDD pattern response to UL/DL buffer status of co-sited cells</w:t>
      </w:r>
    </w:p>
    <w:p w14:paraId="76FE85B3" w14:textId="30A492CD" w:rsidR="00CE2648" w:rsidRDefault="00CE2648" w:rsidP="00CE2648">
      <w:pPr>
        <w:keepNext/>
        <w:jc w:val="both"/>
      </w:pPr>
      <w:r>
        <w:t>This should be kept in mind when designing the UE-to-UE CLI measurements in this WI. Clearly, since the potential performance gain with this feature is limited, it is not warranted to specify a very complex solution.</w:t>
      </w:r>
    </w:p>
    <w:p w14:paraId="34A080E4" w14:textId="0C7D6A12" w:rsidR="00CE2648" w:rsidRDefault="00CE2648" w:rsidP="00CE2648">
      <w:pPr>
        <w:keepNext/>
        <w:jc w:val="both"/>
      </w:pPr>
    </w:p>
    <w:p w14:paraId="425AF3B4" w14:textId="5FD27D6F" w:rsidR="00CE2648" w:rsidRDefault="00CE2648" w:rsidP="00CE2648">
      <w:pPr>
        <w:keepNext/>
        <w:jc w:val="both"/>
        <w:rPr>
          <w:b/>
        </w:rPr>
      </w:pPr>
      <w:r w:rsidRPr="00CE2648">
        <w:rPr>
          <w:b/>
        </w:rPr>
        <w:t>Proposal</w:t>
      </w:r>
      <w:r>
        <w:rPr>
          <w:b/>
        </w:rPr>
        <w:t>:</w:t>
      </w:r>
    </w:p>
    <w:p w14:paraId="2922F56D" w14:textId="11B18C9D" w:rsidR="00CE2648" w:rsidRPr="00CE2648" w:rsidRDefault="00CE2648" w:rsidP="00CE2648">
      <w:pPr>
        <w:keepNext/>
        <w:numPr>
          <w:ilvl w:val="1"/>
          <w:numId w:val="16"/>
        </w:numPr>
        <w:jc w:val="both"/>
      </w:pPr>
      <w:r w:rsidRPr="00CE2648">
        <w:t xml:space="preserve">As the potential benefit with UE-to-UE CLI measurements is limited, avoid over-specifying a complex solution </w:t>
      </w:r>
    </w:p>
    <w:p w14:paraId="777EDE88" w14:textId="77777777" w:rsidR="002B047E" w:rsidRDefault="002B047E" w:rsidP="00800BEC">
      <w:pPr>
        <w:keepNext/>
        <w:jc w:val="both"/>
      </w:pPr>
    </w:p>
    <w:p w14:paraId="592C098E" w14:textId="19056700" w:rsidR="007C7170" w:rsidRDefault="007C7170" w:rsidP="00800BEC">
      <w:pPr>
        <w:pStyle w:val="Heading1"/>
        <w:jc w:val="both"/>
      </w:pPr>
      <w:r>
        <w:t>Conclusions</w:t>
      </w:r>
    </w:p>
    <w:p w14:paraId="7F4D2BCF" w14:textId="043E8FEB" w:rsidR="00CE2648" w:rsidRDefault="00CE2648" w:rsidP="00CE2648">
      <w:r>
        <w:t>In this contribution, we have presented evaluation results for dynamic TDD with and without CLI mitigation and made the following key observation:</w:t>
      </w:r>
    </w:p>
    <w:p w14:paraId="4F3351CB" w14:textId="77777777" w:rsidR="00CE2648" w:rsidRDefault="00CE2648" w:rsidP="00CE2648">
      <w:pPr>
        <w:keepNext/>
        <w:jc w:val="both"/>
        <w:rPr>
          <w:b/>
        </w:rPr>
      </w:pPr>
      <w:r w:rsidRPr="00CE2648">
        <w:rPr>
          <w:b/>
        </w:rPr>
        <w:lastRenderedPageBreak/>
        <w:t>Observation:</w:t>
      </w:r>
    </w:p>
    <w:p w14:paraId="7ED5C9A9" w14:textId="77777777" w:rsidR="00CE2648" w:rsidRPr="00CE2648" w:rsidRDefault="00CE2648" w:rsidP="00CE2648">
      <w:pPr>
        <w:keepNext/>
        <w:numPr>
          <w:ilvl w:val="1"/>
          <w:numId w:val="16"/>
        </w:numPr>
        <w:jc w:val="both"/>
        <w:rPr>
          <w:b/>
        </w:rPr>
      </w:pPr>
      <w:r>
        <w:t>Advanced CLI mitigation scheme based on UE-to-UE CLI measurements and inter-site coordination can only bring limited benefit on top of simple CLI mitigation scheme based on switching to static TDD pattern response to UL/DL buffer status of co-sited cells</w:t>
      </w:r>
    </w:p>
    <w:p w14:paraId="6F23E5C9" w14:textId="798084D7" w:rsidR="00CE2648" w:rsidRDefault="00CE2648" w:rsidP="00CE2648">
      <w:r>
        <w:t>Whereby we propose the following:</w:t>
      </w:r>
    </w:p>
    <w:p w14:paraId="749EDF87" w14:textId="77777777" w:rsidR="00CE2648" w:rsidRDefault="00CE2648" w:rsidP="00CE2648">
      <w:pPr>
        <w:keepNext/>
        <w:jc w:val="both"/>
        <w:rPr>
          <w:b/>
        </w:rPr>
      </w:pPr>
      <w:r w:rsidRPr="00CE2648">
        <w:rPr>
          <w:b/>
        </w:rPr>
        <w:t>Proposal</w:t>
      </w:r>
      <w:r>
        <w:rPr>
          <w:b/>
        </w:rPr>
        <w:t>:</w:t>
      </w:r>
    </w:p>
    <w:p w14:paraId="0DF2419F" w14:textId="77777777" w:rsidR="00CE2648" w:rsidRPr="00CE2648" w:rsidRDefault="00CE2648" w:rsidP="00CE2648">
      <w:pPr>
        <w:keepNext/>
        <w:numPr>
          <w:ilvl w:val="1"/>
          <w:numId w:val="16"/>
        </w:numPr>
        <w:jc w:val="both"/>
      </w:pPr>
      <w:r w:rsidRPr="00CE2648">
        <w:t xml:space="preserve">As the potential benefit with UE-to-UE CLI measurements is limited, avoid over-specifying a complex solution </w:t>
      </w:r>
    </w:p>
    <w:p w14:paraId="52752F27" w14:textId="77777777" w:rsidR="00CE2648" w:rsidRPr="00CE2648" w:rsidRDefault="00CE2648" w:rsidP="00CE2648">
      <w:pPr>
        <w:rPr>
          <w:b/>
        </w:rPr>
      </w:pPr>
    </w:p>
    <w:p w14:paraId="33DC4D67" w14:textId="77777777" w:rsidR="00FD4706" w:rsidRPr="000E610D" w:rsidRDefault="00FD4706" w:rsidP="00800BEC">
      <w:pPr>
        <w:pStyle w:val="Heading1"/>
        <w:jc w:val="both"/>
      </w:pPr>
      <w:r w:rsidRPr="000E610D">
        <w:t>References</w:t>
      </w:r>
    </w:p>
    <w:p w14:paraId="2592415C" w14:textId="77777777" w:rsidR="0011133B" w:rsidRPr="00D32C74" w:rsidRDefault="00CB7F9A" w:rsidP="00800BEC">
      <w:pPr>
        <w:pStyle w:val="Reference"/>
        <w:jc w:val="both"/>
        <w:rPr>
          <w:szCs w:val="20"/>
        </w:rPr>
      </w:pPr>
      <w:bookmarkStart w:id="5" w:name="_Ref462042515"/>
      <w:bookmarkStart w:id="6" w:name="_Ref390333486"/>
      <w:bookmarkStart w:id="7" w:name="_Ref461008481"/>
      <w:r w:rsidRPr="00D32C74">
        <w:rPr>
          <w:szCs w:val="20"/>
        </w:rPr>
        <w:t>Chairman’s notes 3GPP RAN1#86BIS</w:t>
      </w:r>
      <w:bookmarkEnd w:id="5"/>
    </w:p>
    <w:p w14:paraId="76E23133" w14:textId="1DF785E5" w:rsidR="00D32C74" w:rsidRDefault="00D32C74" w:rsidP="00800BEC">
      <w:pPr>
        <w:pStyle w:val="Reference"/>
        <w:jc w:val="both"/>
      </w:pPr>
      <w:bookmarkStart w:id="8" w:name="_Ref464832324"/>
      <w:r>
        <w:t>TR</w:t>
      </w:r>
      <w:r w:rsidR="00E75DC6">
        <w:t xml:space="preserve"> </w:t>
      </w:r>
      <w:r>
        <w:t>38.</w:t>
      </w:r>
      <w:bookmarkEnd w:id="8"/>
      <w:r w:rsidR="00E75DC6">
        <w:t>802</w:t>
      </w:r>
    </w:p>
    <w:p w14:paraId="6A4F194B" w14:textId="77777777" w:rsidR="0011133B" w:rsidRPr="000E610D" w:rsidRDefault="0011133B" w:rsidP="00800BEC">
      <w:pPr>
        <w:pStyle w:val="Reference"/>
        <w:numPr>
          <w:ilvl w:val="0"/>
          <w:numId w:val="0"/>
        </w:numPr>
        <w:jc w:val="both"/>
        <w:rPr>
          <w:rFonts w:ascii="Arial" w:hAnsi="Arial" w:cs="Arial"/>
          <w:sz w:val="20"/>
          <w:szCs w:val="20"/>
        </w:rPr>
      </w:pPr>
    </w:p>
    <w:bookmarkEnd w:id="6"/>
    <w:bookmarkEnd w:id="7"/>
    <w:p w14:paraId="778A49E7" w14:textId="77777777" w:rsidR="00112C00" w:rsidRDefault="008C24D1" w:rsidP="00800BEC">
      <w:pPr>
        <w:pStyle w:val="Heading1"/>
        <w:jc w:val="both"/>
      </w:pPr>
      <w:r>
        <w:t>Appendix</w:t>
      </w:r>
    </w:p>
    <w:p w14:paraId="0F422632" w14:textId="77777777" w:rsidR="00510F18" w:rsidRDefault="00DC0023" w:rsidP="00800BEC">
      <w:pPr>
        <w:pStyle w:val="Caption"/>
        <w:jc w:val="both"/>
      </w:pPr>
      <w:bookmarkStart w:id="9" w:name="_Ref466070001"/>
      <w:r>
        <w:t xml:space="preserve">Table </w:t>
      </w:r>
      <w:r w:rsidR="00FF5338">
        <w:rPr>
          <w:noProof/>
        </w:rPr>
        <w:fldChar w:fldCharType="begin"/>
      </w:r>
      <w:r w:rsidR="00FF5338">
        <w:rPr>
          <w:noProof/>
        </w:rPr>
        <w:instrText xml:space="preserve"> SEQ Table \* ARABIC </w:instrText>
      </w:r>
      <w:r w:rsidR="00FF5338">
        <w:rPr>
          <w:noProof/>
        </w:rPr>
        <w:fldChar w:fldCharType="separate"/>
      </w:r>
      <w:r>
        <w:rPr>
          <w:noProof/>
        </w:rPr>
        <w:t>1</w:t>
      </w:r>
      <w:r w:rsidR="00FF5338">
        <w:rPr>
          <w:noProof/>
        </w:rPr>
        <w:fldChar w:fldCharType="end"/>
      </w:r>
      <w:bookmarkEnd w:id="9"/>
      <w:r>
        <w:t xml:space="preserve">: </w:t>
      </w:r>
      <w:r w:rsidR="00510F18">
        <w:t>Additional simulation assumptions for</w:t>
      </w:r>
      <w:r w:rsidR="00432B1E">
        <w:t xml:space="preserve"> dense urban deployment</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7012"/>
      </w:tblGrid>
      <w:tr w:rsidR="00432B1E" w:rsidRPr="00AB07ED" w14:paraId="1C9CB1E1"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7C008A1" w14:textId="77777777" w:rsidR="00432B1E" w:rsidRPr="00432B1E" w:rsidRDefault="00432B1E" w:rsidP="00432B1E">
            <w:pPr>
              <w:jc w:val="both"/>
              <w:rPr>
                <w:rFonts w:ascii="Arial" w:hAnsi="Arial" w:cs="Arial"/>
                <w:b/>
                <w:sz w:val="18"/>
              </w:rPr>
            </w:pPr>
            <w:r w:rsidRPr="00432B1E">
              <w:rPr>
                <w:rFonts w:ascii="Arial" w:hAnsi="Arial" w:cs="Arial"/>
                <w:b/>
                <w:sz w:val="18"/>
              </w:rPr>
              <w:t>Inter-BS distance</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D17F8BC"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Macro-to-macro: 200m</w:t>
            </w:r>
          </w:p>
          <w:p w14:paraId="3BADFBAB"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Micro-to-micro: </w:t>
            </w:r>
            <w:r>
              <w:rPr>
                <w:rFonts w:ascii="Arial" w:hAnsi="Arial" w:cs="Arial"/>
                <w:sz w:val="18"/>
                <w:szCs w:val="18"/>
                <w:u w:val="single"/>
              </w:rPr>
              <w:t>10</w:t>
            </w:r>
            <w:r w:rsidRPr="00432B1E">
              <w:rPr>
                <w:rFonts w:ascii="Arial" w:hAnsi="Arial" w:cs="Arial"/>
                <w:sz w:val="18"/>
                <w:szCs w:val="18"/>
                <w:u w:val="single"/>
              </w:rPr>
              <w:t>m</w:t>
            </w:r>
            <w:r>
              <w:rPr>
                <w:rFonts w:ascii="Arial" w:hAnsi="Arial" w:cs="Arial"/>
                <w:sz w:val="18"/>
                <w:szCs w:val="18"/>
                <w:u w:val="single"/>
              </w:rPr>
              <w:t xml:space="preserve"> (randomly placed on edge of hotzone cluster with radius of 15m)</w:t>
            </w:r>
          </w:p>
        </w:tc>
      </w:tr>
      <w:tr w:rsidR="00432B1E" w:rsidRPr="00AB07ED" w14:paraId="42B95672"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4260C7A6"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Minimum BS-UE (2D) distance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5D80D04"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Macro-to-UE: 35m [TR36.897]</w:t>
            </w:r>
          </w:p>
          <w:p w14:paraId="1C780089"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Micro-to-UE: 10m [TR36.897]</w:t>
            </w:r>
          </w:p>
        </w:tc>
      </w:tr>
      <w:tr w:rsidR="00432B1E" w:rsidRPr="00AB07ED" w14:paraId="5037556F"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5B36229D"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Minimum UE-UE (2D) distance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46DABAA6"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3m</w:t>
            </w:r>
          </w:p>
        </w:tc>
      </w:tr>
      <w:tr w:rsidR="00432B1E" w:rsidRPr="00AB07ED" w14:paraId="3234798B"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5D56913"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Carrier frequency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72CF15F"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4GHz</w:t>
            </w:r>
            <w:r>
              <w:rPr>
                <w:rFonts w:ascii="Arial" w:hAnsi="Arial" w:cs="Arial"/>
                <w:sz w:val="18"/>
                <w:szCs w:val="18"/>
                <w:u w:val="single"/>
              </w:rPr>
              <w:t xml:space="preserve"> for Macro</w:t>
            </w:r>
            <w:r w:rsidRPr="00432B1E">
              <w:rPr>
                <w:rFonts w:ascii="Arial" w:hAnsi="Arial" w:cs="Arial"/>
                <w:sz w:val="18"/>
                <w:szCs w:val="18"/>
                <w:u w:val="single"/>
              </w:rPr>
              <w:t>, 30GHz</w:t>
            </w:r>
            <w:r>
              <w:rPr>
                <w:rFonts w:ascii="Arial" w:hAnsi="Arial" w:cs="Arial"/>
                <w:sz w:val="18"/>
                <w:szCs w:val="18"/>
                <w:u w:val="single"/>
              </w:rPr>
              <w:t xml:space="preserve"> for Micro</w:t>
            </w:r>
          </w:p>
        </w:tc>
      </w:tr>
      <w:tr w:rsidR="00432B1E" w:rsidRPr="00AB07ED" w14:paraId="60B17146"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22278D88"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Simulation bandwidth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626D718C"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4GHz: One carrier with 20MHz (TDD)</w:t>
            </w:r>
          </w:p>
          <w:p w14:paraId="1BA9EB38" w14:textId="783A9A89" w:rsidR="00432B1E" w:rsidRPr="00432B1E" w:rsidRDefault="00432B1E" w:rsidP="00432B1E">
            <w:pPr>
              <w:jc w:val="both"/>
              <w:rPr>
                <w:rFonts w:ascii="Arial" w:hAnsi="Arial" w:cs="Arial"/>
                <w:sz w:val="18"/>
                <w:szCs w:val="18"/>
                <w:u w:val="single"/>
              </w:rPr>
            </w:pPr>
          </w:p>
        </w:tc>
      </w:tr>
      <w:tr w:rsidR="00432B1E" w:rsidRPr="00AB07ED" w14:paraId="1F0DD35A"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12537189"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Channel model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263745D9"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Below 6GHz:</w:t>
            </w:r>
          </w:p>
          <w:p w14:paraId="317F6EB3"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Macro-to-UE: 3D UMa </w:t>
            </w:r>
          </w:p>
          <w:p w14:paraId="00C68CD7"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Micro-to-UE: 3D UMi </w:t>
            </w:r>
          </w:p>
          <w:p w14:paraId="5C15D657"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Macro-to-Macro: 3D UMa (h_UE=25m)</w:t>
            </w:r>
          </w:p>
          <w:p w14:paraId="4CCCB753"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Macro-to-Micro: 3D UMa (h_UE=10m) </w:t>
            </w:r>
          </w:p>
          <w:p w14:paraId="64A1C9C9"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Micro-to-Micro: 3D UMi (h_UE=10m) </w:t>
            </w:r>
          </w:p>
          <w:p w14:paraId="68123F28" w14:textId="7EF0D57A" w:rsidR="00432B1E" w:rsidRPr="00432B1E" w:rsidRDefault="00432B1E" w:rsidP="009C75D2">
            <w:pPr>
              <w:jc w:val="both"/>
              <w:rPr>
                <w:rFonts w:ascii="Arial" w:hAnsi="Arial" w:cs="Arial"/>
                <w:sz w:val="18"/>
                <w:szCs w:val="18"/>
                <w:u w:val="single"/>
              </w:rPr>
            </w:pPr>
            <w:r w:rsidRPr="00432B1E">
              <w:rPr>
                <w:rFonts w:ascii="Arial" w:hAnsi="Arial" w:cs="Arial"/>
                <w:sz w:val="18"/>
                <w:szCs w:val="18"/>
                <w:u w:val="single"/>
              </w:rPr>
              <w:t xml:space="preserve"> UE-to-UE: A.2.1.2 in TR36.843</w:t>
            </w:r>
          </w:p>
        </w:tc>
      </w:tr>
      <w:tr w:rsidR="00432B1E" w:rsidRPr="00AB07ED" w14:paraId="2E855D6B"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071D3CC" w14:textId="77777777" w:rsidR="00432B1E" w:rsidRPr="00432B1E" w:rsidRDefault="00432B1E" w:rsidP="00432B1E">
            <w:pPr>
              <w:jc w:val="both"/>
              <w:rPr>
                <w:rFonts w:ascii="Arial" w:hAnsi="Arial" w:cs="Arial"/>
                <w:b/>
                <w:sz w:val="18"/>
              </w:rPr>
            </w:pPr>
            <w:r w:rsidRPr="00432B1E">
              <w:rPr>
                <w:rFonts w:ascii="Arial" w:hAnsi="Arial" w:cs="Arial"/>
                <w:b/>
                <w:sz w:val="18"/>
              </w:rPr>
              <w:t>Penetration loss</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59D72A7A"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Follow [</w:t>
            </w:r>
            <w:r>
              <w:rPr>
                <w:rFonts w:ascii="Arial" w:hAnsi="Arial" w:cs="Arial"/>
                <w:sz w:val="18"/>
                <w:szCs w:val="18"/>
                <w:u w:val="single"/>
              </w:rPr>
              <w:t>2</w:t>
            </w:r>
            <w:r w:rsidRPr="00432B1E">
              <w:rPr>
                <w:rFonts w:ascii="Arial" w:hAnsi="Arial" w:cs="Arial"/>
                <w:sz w:val="18"/>
                <w:szCs w:val="18"/>
                <w:u w:val="single"/>
              </w:rPr>
              <w:t>]</w:t>
            </w:r>
          </w:p>
        </w:tc>
      </w:tr>
      <w:tr w:rsidR="00432B1E" w:rsidRPr="00AB07ED" w14:paraId="639BDBF6"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4D5D9635"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BS Tx power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45FF0627" w14:textId="66A359CE" w:rsidR="00432B1E" w:rsidRPr="00432B1E" w:rsidRDefault="00432B1E" w:rsidP="009C75D2">
            <w:pPr>
              <w:jc w:val="both"/>
              <w:rPr>
                <w:rFonts w:ascii="Arial" w:hAnsi="Arial" w:cs="Arial"/>
                <w:sz w:val="18"/>
                <w:szCs w:val="18"/>
                <w:u w:val="single"/>
              </w:rPr>
            </w:pPr>
            <w:r w:rsidRPr="00432B1E">
              <w:rPr>
                <w:rFonts w:ascii="Arial" w:hAnsi="Arial" w:cs="Arial"/>
                <w:sz w:val="18"/>
                <w:szCs w:val="18"/>
                <w:u w:val="single"/>
              </w:rPr>
              <w:t>Macro layer:  Below 6GHz: 44 dBm</w:t>
            </w:r>
          </w:p>
        </w:tc>
      </w:tr>
      <w:tr w:rsidR="00432B1E" w:rsidRPr="00AB07ED" w14:paraId="16C740C5"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6D524561"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UE Tx power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083C925A"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Maximum 23 dBm </w:t>
            </w:r>
          </w:p>
        </w:tc>
      </w:tr>
      <w:tr w:rsidR="00432B1E" w:rsidRPr="00660D13" w14:paraId="0E7CF081"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50C7046"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BS antenna configuration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793C1BCC"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Below 6GHz: </w:t>
            </w:r>
          </w:p>
          <w:p w14:paraId="12035062"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Baseline:</w:t>
            </w:r>
          </w:p>
          <w:p w14:paraId="242F690A"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lastRenderedPageBreak/>
              <w:t xml:space="preserve"> (M,N,P,Mg,Ng)=(8,8,2,1,1)</w:t>
            </w:r>
          </w:p>
          <w:p w14:paraId="49DD6944"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(dH,dV)=(0.5,0.8)λ </w:t>
            </w:r>
          </w:p>
          <w:p w14:paraId="1BDD290F" w14:textId="27F420CA" w:rsidR="00432B1E" w:rsidRPr="00660D13" w:rsidRDefault="00432B1E" w:rsidP="00432B1E">
            <w:pPr>
              <w:jc w:val="both"/>
              <w:rPr>
                <w:rFonts w:ascii="Arial" w:hAnsi="Arial" w:cs="Arial"/>
                <w:sz w:val="18"/>
                <w:szCs w:val="18"/>
                <w:u w:val="single"/>
              </w:rPr>
            </w:pPr>
            <w:r w:rsidRPr="00660D13">
              <w:rPr>
                <w:rFonts w:ascii="Arial" w:hAnsi="Arial" w:cs="Arial"/>
                <w:sz w:val="18"/>
                <w:szCs w:val="18"/>
                <w:u w:val="single"/>
              </w:rPr>
              <w:t xml:space="preserve"> </w:t>
            </w:r>
          </w:p>
        </w:tc>
      </w:tr>
      <w:tr w:rsidR="00432B1E" w:rsidRPr="00AB07ED" w14:paraId="756C5DBC"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6A234659" w14:textId="77777777" w:rsidR="00432B1E" w:rsidRPr="00432B1E" w:rsidRDefault="00432B1E" w:rsidP="00432B1E">
            <w:pPr>
              <w:jc w:val="both"/>
              <w:rPr>
                <w:rFonts w:ascii="Arial" w:hAnsi="Arial" w:cs="Arial"/>
                <w:b/>
                <w:sz w:val="18"/>
              </w:rPr>
            </w:pPr>
            <w:r w:rsidRPr="00432B1E">
              <w:rPr>
                <w:rFonts w:ascii="Arial" w:hAnsi="Arial" w:cs="Arial"/>
                <w:b/>
                <w:sz w:val="18"/>
              </w:rPr>
              <w:lastRenderedPageBreak/>
              <w:t>BS antenna configuration</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664EBB17"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object w:dxaOrig="6140" w:dyaOrig="2260" w14:anchorId="4DD42124">
                <v:shape id="_x0000_i1028" type="#_x0000_t75" style="width:302.65pt;height:115.35pt" o:ole="" o:allowoverlap="f">
                  <v:imagedata r:id="rId14" o:title=""/>
                </v:shape>
                <o:OLEObject Type="Embed" ProgID="Equation.DSMT4" ShapeID="_x0000_i1028" DrawAspect="Content" ObjectID="_1611743674" r:id="rId15"/>
              </w:object>
            </w:r>
          </w:p>
        </w:tc>
      </w:tr>
      <w:tr w:rsidR="00432B1E" w:rsidRPr="00AB07ED" w14:paraId="16ABFF85"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5954E337"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BS antenna height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289DA0CE"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Macro: 25m</w:t>
            </w:r>
          </w:p>
          <w:p w14:paraId="422EC0EC"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Micro: 10m</w:t>
            </w:r>
          </w:p>
        </w:tc>
      </w:tr>
      <w:tr w:rsidR="00432B1E" w:rsidRPr="00AB07ED" w14:paraId="70B61EF6"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5F76465D" w14:textId="77777777" w:rsidR="00432B1E" w:rsidRPr="00432B1E" w:rsidRDefault="00432B1E" w:rsidP="00432B1E">
            <w:pPr>
              <w:jc w:val="both"/>
              <w:rPr>
                <w:rFonts w:ascii="Arial" w:hAnsi="Arial" w:cs="Arial"/>
                <w:b/>
                <w:sz w:val="18"/>
              </w:rPr>
            </w:pPr>
            <w:r w:rsidRPr="00432B1E">
              <w:rPr>
                <w:rFonts w:ascii="Arial" w:hAnsi="Arial" w:cs="Arial"/>
                <w:b/>
                <w:sz w:val="18"/>
              </w:rPr>
              <w:t>BS antenna element gain + connector loss</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57764EB3"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8 dBi</w:t>
            </w:r>
          </w:p>
        </w:tc>
      </w:tr>
      <w:tr w:rsidR="00432B1E" w:rsidRPr="00AB07ED" w14:paraId="1EB5DD35"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15CEBFD3" w14:textId="77777777" w:rsidR="00432B1E" w:rsidRPr="00432B1E" w:rsidRDefault="00432B1E" w:rsidP="00432B1E">
            <w:pPr>
              <w:jc w:val="both"/>
              <w:rPr>
                <w:rFonts w:ascii="Arial" w:hAnsi="Arial" w:cs="Arial"/>
                <w:b/>
                <w:sz w:val="18"/>
              </w:rPr>
            </w:pPr>
            <w:r w:rsidRPr="00432B1E">
              <w:rPr>
                <w:rFonts w:ascii="Arial" w:hAnsi="Arial" w:cs="Arial"/>
                <w:b/>
                <w:sz w:val="18"/>
              </w:rPr>
              <w:t>BS antenna tilt</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37A1D041"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Macro:</w:t>
            </w:r>
            <w:r w:rsidRPr="00432B1E">
              <w:rPr>
                <w:rFonts w:ascii="Arial" w:hAnsi="Arial" w:cs="Arial" w:hint="eastAsia"/>
                <w:sz w:val="18"/>
                <w:szCs w:val="18"/>
                <w:u w:val="single"/>
              </w:rPr>
              <w:t>108</w:t>
            </w:r>
            <w:r w:rsidRPr="00432B1E">
              <w:rPr>
                <w:rFonts w:ascii="Arial" w:hAnsi="Arial" w:cs="Arial"/>
                <w:sz w:val="18"/>
                <w:szCs w:val="18"/>
                <w:u w:val="single"/>
              </w:rPr>
              <w:t>deg</w:t>
            </w:r>
          </w:p>
          <w:p w14:paraId="55BF15D8"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Micro:</w:t>
            </w:r>
            <w:r w:rsidRPr="00432B1E">
              <w:rPr>
                <w:rFonts w:ascii="Arial" w:hAnsi="Arial" w:cs="Arial" w:hint="eastAsia"/>
                <w:sz w:val="18"/>
                <w:szCs w:val="18"/>
                <w:u w:val="single"/>
              </w:rPr>
              <w:t>105deg</w:t>
            </w:r>
          </w:p>
        </w:tc>
      </w:tr>
      <w:tr w:rsidR="00432B1E" w:rsidRPr="00AB07ED" w14:paraId="6F454061"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41F3F6A5"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BS receiver noise figure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474A0137"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Below 6GHz: 5 dB</w:t>
            </w:r>
          </w:p>
          <w:p w14:paraId="7D1D7CAF"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Above 6GHz: 7 dB</w:t>
            </w:r>
          </w:p>
        </w:tc>
      </w:tr>
      <w:tr w:rsidR="00432B1E" w:rsidRPr="00AB07ED" w14:paraId="78E2CBA5"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4EC3BE5A"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UE antenna configuration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466A58F0"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object w:dxaOrig="6140" w:dyaOrig="2260" w14:anchorId="5E083D90">
                <v:shape id="_x0000_i1029" type="#_x0000_t75" style="width:302.65pt;height:115.35pt" o:ole="" o:allowoverlap="f">
                  <v:imagedata r:id="rId16" o:title=""/>
                </v:shape>
                <o:OLEObject Type="Embed" ProgID="Equation.DSMT4" ShapeID="_x0000_i1029" DrawAspect="Content" ObjectID="_1611743675" r:id="rId17"/>
              </w:object>
            </w:r>
          </w:p>
        </w:tc>
      </w:tr>
      <w:tr w:rsidR="00432B1E" w14:paraId="33001A38"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2FAB7EB1" w14:textId="77777777" w:rsidR="00432B1E" w:rsidRPr="00432B1E" w:rsidRDefault="00432B1E" w:rsidP="00432B1E">
            <w:pPr>
              <w:jc w:val="both"/>
              <w:rPr>
                <w:rFonts w:ascii="Arial" w:hAnsi="Arial" w:cs="Arial"/>
                <w:b/>
                <w:sz w:val="18"/>
              </w:rPr>
            </w:pPr>
            <w:r w:rsidRPr="00432B1E">
              <w:rPr>
                <w:rFonts w:ascii="Arial" w:hAnsi="Arial" w:cs="Arial"/>
                <w:b/>
                <w:sz w:val="18"/>
              </w:rPr>
              <w:t>UE antenna elements</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6128089E" w14:textId="77777777" w:rsidR="00F01CA2" w:rsidRDefault="00432B1E" w:rsidP="00432B1E">
            <w:pPr>
              <w:jc w:val="both"/>
              <w:rPr>
                <w:rFonts w:ascii="Arial" w:hAnsi="Arial" w:cs="Arial"/>
                <w:sz w:val="18"/>
                <w:szCs w:val="18"/>
                <w:u w:val="single"/>
              </w:rPr>
            </w:pPr>
            <w:r w:rsidRPr="00432B1E">
              <w:rPr>
                <w:rFonts w:ascii="Arial" w:hAnsi="Arial" w:cs="Arial"/>
                <w:sz w:val="18"/>
                <w:szCs w:val="18"/>
                <w:u w:val="single"/>
              </w:rPr>
              <w:t>For 4GHz: 2Tx and 2Rx</w:t>
            </w:r>
          </w:p>
          <w:p w14:paraId="57DF77B4" w14:textId="7B60A588" w:rsidR="00432B1E" w:rsidRPr="00432B1E" w:rsidRDefault="00432B1E" w:rsidP="00432B1E">
            <w:pPr>
              <w:jc w:val="both"/>
              <w:rPr>
                <w:rFonts w:ascii="Arial" w:hAnsi="Arial" w:cs="Arial"/>
                <w:sz w:val="18"/>
                <w:szCs w:val="18"/>
                <w:u w:val="single"/>
              </w:rPr>
            </w:pPr>
          </w:p>
        </w:tc>
      </w:tr>
      <w:tr w:rsidR="00432B1E" w:rsidRPr="00AB07ED" w14:paraId="5A8044E7"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25FAAA6A" w14:textId="77777777" w:rsidR="00432B1E" w:rsidRPr="00432B1E" w:rsidRDefault="00432B1E" w:rsidP="00432B1E">
            <w:pPr>
              <w:jc w:val="both"/>
              <w:rPr>
                <w:rFonts w:ascii="Arial" w:hAnsi="Arial" w:cs="Arial"/>
                <w:b/>
                <w:sz w:val="18"/>
              </w:rPr>
            </w:pPr>
            <w:r w:rsidRPr="00432B1E">
              <w:rPr>
                <w:rFonts w:ascii="Arial" w:hAnsi="Arial" w:cs="Arial"/>
                <w:b/>
                <w:sz w:val="18"/>
              </w:rPr>
              <w:t>UE antenna</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C6876B5"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object w:dxaOrig="1960" w:dyaOrig="380" w14:anchorId="7D2EB532">
                <v:shape id="_x0000_i1030" type="#_x0000_t75" style="width:100.65pt;height:21.65pt" o:ole="">
                  <v:imagedata r:id="rId18" o:title=""/>
                </v:shape>
                <o:OLEObject Type="Embed" ProgID="Equation.DSMT4" ShapeID="_x0000_i1030" DrawAspect="Content" ObjectID="_1611743676" r:id="rId19"/>
              </w:object>
            </w:r>
            <w:r w:rsidRPr="00432B1E">
              <w:rPr>
                <w:rFonts w:ascii="Arial" w:hAnsi="Arial" w:cs="Arial"/>
                <w:sz w:val="18"/>
                <w:szCs w:val="18"/>
                <w:u w:val="single"/>
              </w:rPr>
              <w:t xml:space="preserve"> </w:t>
            </w:r>
            <w:r w:rsidRPr="00432B1E">
              <w:rPr>
                <w:rFonts w:ascii="Arial" w:hAnsi="Arial" w:cs="Arial"/>
                <w:sz w:val="18"/>
                <w:szCs w:val="18"/>
                <w:u w:val="single"/>
              </w:rPr>
              <w:br/>
            </w:r>
            <w:r w:rsidRPr="00432B1E">
              <w:rPr>
                <w:rFonts w:ascii="Arial" w:hAnsi="Arial" w:cs="Arial"/>
                <w:sz w:val="18"/>
                <w:szCs w:val="18"/>
                <w:u w:val="single"/>
              </w:rPr>
              <w:object w:dxaOrig="300" w:dyaOrig="380" w14:anchorId="03EA30FC">
                <v:shape id="_x0000_i1031" type="#_x0000_t75" style="width:14.65pt;height:21.65pt" o:ole="">
                  <v:imagedata r:id="rId20" o:title=""/>
                </v:shape>
                <o:OLEObject Type="Embed" ProgID="Equation.DSMT4" ShapeID="_x0000_i1031" DrawAspect="Content" ObjectID="_1611743677" r:id="rId21"/>
              </w:object>
            </w:r>
            <w:r w:rsidRPr="00432B1E">
              <w:rPr>
                <w:rFonts w:ascii="Arial" w:hAnsi="Arial" w:cs="Arial"/>
                <w:sz w:val="18"/>
                <w:szCs w:val="18"/>
                <w:u w:val="single"/>
              </w:rPr>
              <w:t xml:space="preserve">  for outdoor UEs: 1</w:t>
            </w:r>
          </w:p>
          <w:p w14:paraId="6E9EBB31"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object w:dxaOrig="300" w:dyaOrig="380" w14:anchorId="4A65E3BA">
                <v:shape id="_x0000_i1032" type="#_x0000_t75" style="width:14.65pt;height:21.65pt" o:ole="">
                  <v:imagedata r:id="rId22" o:title=""/>
                </v:shape>
                <o:OLEObject Type="Embed" ProgID="Equation.DSMT4" ShapeID="_x0000_i1032" DrawAspect="Content" ObjectID="_1611743678" r:id="rId23"/>
              </w:object>
            </w:r>
            <w:r w:rsidRPr="00432B1E">
              <w:rPr>
                <w:rFonts w:ascii="Arial" w:hAnsi="Arial" w:cs="Arial"/>
                <w:sz w:val="18"/>
                <w:szCs w:val="18"/>
                <w:u w:val="single"/>
              </w:rPr>
              <w:t xml:space="preserve"> for indoor UEs: </w:t>
            </w:r>
            <w:r w:rsidRPr="00432B1E">
              <w:rPr>
                <w:rFonts w:ascii="Arial" w:hAnsi="Arial" w:cs="Arial"/>
                <w:sz w:val="18"/>
                <w:szCs w:val="18"/>
                <w:u w:val="single"/>
              </w:rPr>
              <w:object w:dxaOrig="300" w:dyaOrig="380" w14:anchorId="41DE288B">
                <v:shape id="_x0000_i1033" type="#_x0000_t75" style="width:14.65pt;height:21.65pt" o:ole="">
                  <v:imagedata r:id="rId20" o:title=""/>
                </v:shape>
                <o:OLEObject Type="Embed" ProgID="Equation.DSMT4" ShapeID="_x0000_i1033" DrawAspect="Content" ObjectID="_1611743679" r:id="rId24"/>
              </w:object>
            </w:r>
            <w:r w:rsidRPr="00432B1E">
              <w:rPr>
                <w:rFonts w:ascii="Arial" w:hAnsi="Arial" w:cs="Arial"/>
                <w:sz w:val="18"/>
                <w:szCs w:val="18"/>
                <w:u w:val="single"/>
              </w:rPr>
              <w:t>~</w:t>
            </w:r>
            <w:proofErr w:type="gramStart"/>
            <w:r w:rsidRPr="00432B1E">
              <w:rPr>
                <w:rFonts w:ascii="Arial" w:hAnsi="Arial" w:cs="Arial"/>
                <w:sz w:val="18"/>
                <w:szCs w:val="18"/>
                <w:u w:val="single"/>
              </w:rPr>
              <w:t>uniform(</w:t>
            </w:r>
            <w:proofErr w:type="gramEnd"/>
            <w:r w:rsidRPr="00432B1E">
              <w:rPr>
                <w:rFonts w:ascii="Arial" w:hAnsi="Arial" w:cs="Arial"/>
                <w:sz w:val="18"/>
                <w:szCs w:val="18"/>
                <w:u w:val="single"/>
              </w:rPr>
              <w:t xml:space="preserve">1, </w:t>
            </w:r>
            <w:r w:rsidRPr="00432B1E">
              <w:rPr>
                <w:rFonts w:ascii="Arial" w:hAnsi="Arial" w:cs="Arial"/>
                <w:sz w:val="18"/>
                <w:szCs w:val="18"/>
                <w:u w:val="single"/>
              </w:rPr>
              <w:object w:dxaOrig="300" w:dyaOrig="380" w14:anchorId="02C62B66">
                <v:shape id="_x0000_i1034" type="#_x0000_t75" style="width:14.65pt;height:21.65pt" o:ole="">
                  <v:imagedata r:id="rId20" o:title=""/>
                </v:shape>
                <o:OLEObject Type="Embed" ProgID="Equation.DSMT4" ShapeID="_x0000_i1034" DrawAspect="Content" ObjectID="_1611743680" r:id="rId25"/>
              </w:object>
            </w:r>
            <w:r w:rsidRPr="00432B1E">
              <w:rPr>
                <w:rFonts w:ascii="Arial" w:hAnsi="Arial" w:cs="Arial"/>
                <w:sz w:val="18"/>
                <w:szCs w:val="18"/>
                <w:u w:val="single"/>
              </w:rPr>
              <w:t xml:space="preserve">) where </w:t>
            </w:r>
            <w:r w:rsidRPr="00432B1E">
              <w:rPr>
                <w:rFonts w:ascii="Arial" w:hAnsi="Arial" w:cs="Arial"/>
                <w:sz w:val="18"/>
                <w:szCs w:val="18"/>
                <w:u w:val="single"/>
              </w:rPr>
              <w:object w:dxaOrig="300" w:dyaOrig="380" w14:anchorId="077BA5CD">
                <v:shape id="_x0000_i1035" type="#_x0000_t75" style="width:14.65pt;height:21.65pt" o:ole="">
                  <v:imagedata r:id="rId20" o:title=""/>
                </v:shape>
                <o:OLEObject Type="Embed" ProgID="Equation.DSMT4" ShapeID="_x0000_i1035" DrawAspect="Content" ObjectID="_1611743681" r:id="rId26"/>
              </w:object>
            </w:r>
            <w:r w:rsidRPr="00432B1E">
              <w:rPr>
                <w:rFonts w:ascii="Arial" w:hAnsi="Arial" w:cs="Arial"/>
                <w:sz w:val="18"/>
                <w:szCs w:val="18"/>
                <w:u w:val="single"/>
              </w:rPr>
              <w:t>~uniform(4,8)</w:t>
            </w:r>
          </w:p>
        </w:tc>
      </w:tr>
      <w:tr w:rsidR="00432B1E" w14:paraId="61F46F62"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05E046BC" w14:textId="77777777" w:rsidR="00432B1E" w:rsidRPr="00432B1E" w:rsidRDefault="00432B1E" w:rsidP="00432B1E">
            <w:pPr>
              <w:jc w:val="both"/>
              <w:rPr>
                <w:rFonts w:ascii="Arial" w:hAnsi="Arial" w:cs="Arial"/>
                <w:b/>
                <w:sz w:val="18"/>
              </w:rPr>
            </w:pPr>
            <w:r w:rsidRPr="00432B1E">
              <w:rPr>
                <w:rFonts w:ascii="Arial" w:hAnsi="Arial" w:cs="Arial"/>
                <w:b/>
                <w:sz w:val="18"/>
              </w:rPr>
              <w:t>UE antenna gain</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08065498"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For below 6GHz: Follow the modeling of TR36.873</w:t>
            </w:r>
          </w:p>
          <w:p w14:paraId="75E80AD4"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For 30GHz: 5dBi</w:t>
            </w:r>
          </w:p>
        </w:tc>
      </w:tr>
      <w:tr w:rsidR="00432B1E" w14:paraId="03E58E62"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961F2EA" w14:textId="77777777" w:rsidR="00432B1E" w:rsidRPr="00432B1E" w:rsidRDefault="00432B1E" w:rsidP="00432B1E">
            <w:pPr>
              <w:jc w:val="both"/>
              <w:rPr>
                <w:rFonts w:ascii="Arial" w:hAnsi="Arial" w:cs="Arial"/>
                <w:b/>
                <w:sz w:val="18"/>
              </w:rPr>
            </w:pPr>
            <w:r w:rsidRPr="00432B1E">
              <w:rPr>
                <w:rFonts w:ascii="Arial" w:hAnsi="Arial" w:cs="Arial"/>
                <w:b/>
                <w:sz w:val="18"/>
              </w:rPr>
              <w:t>UE receiver noise figure</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3DB105ED"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Below 6GHz: 9 dB</w:t>
            </w:r>
          </w:p>
          <w:p w14:paraId="4B3D25F2"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Above 6GHz: 13 dB </w:t>
            </w:r>
          </w:p>
        </w:tc>
      </w:tr>
      <w:tr w:rsidR="00432B1E" w14:paraId="65C53C5B"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1893F46F" w14:textId="77777777" w:rsidR="00432B1E" w:rsidRPr="00432B1E" w:rsidRDefault="00432B1E" w:rsidP="00432B1E">
            <w:pPr>
              <w:jc w:val="both"/>
              <w:rPr>
                <w:rFonts w:ascii="Arial" w:hAnsi="Arial" w:cs="Arial"/>
                <w:b/>
                <w:sz w:val="18"/>
              </w:rPr>
            </w:pPr>
            <w:r w:rsidRPr="00432B1E">
              <w:rPr>
                <w:rFonts w:ascii="Arial" w:hAnsi="Arial" w:cs="Arial"/>
                <w:b/>
                <w:sz w:val="18"/>
              </w:rPr>
              <w:t>Traffic model</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7F150DF4" w14:textId="77777777" w:rsidR="00432B1E" w:rsidRPr="00432B1E" w:rsidRDefault="00432B1E" w:rsidP="004D49A7">
            <w:pPr>
              <w:jc w:val="both"/>
              <w:rPr>
                <w:rFonts w:ascii="Arial" w:hAnsi="Arial" w:cs="Arial"/>
                <w:sz w:val="18"/>
                <w:szCs w:val="18"/>
                <w:u w:val="single"/>
              </w:rPr>
            </w:pPr>
            <w:r w:rsidRPr="00432B1E">
              <w:rPr>
                <w:rFonts w:ascii="Arial" w:hAnsi="Arial" w:cs="Arial"/>
                <w:sz w:val="18"/>
                <w:szCs w:val="18"/>
                <w:u w:val="single"/>
              </w:rPr>
              <w:t xml:space="preserve">FTP traffic model 3 with packet size 0.5Mbytes </w:t>
            </w:r>
          </w:p>
        </w:tc>
      </w:tr>
      <w:tr w:rsidR="00432B1E" w:rsidRPr="00AB07ED" w14:paraId="0E5E7237"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5AA94C7E" w14:textId="77777777" w:rsidR="00432B1E" w:rsidRPr="00432B1E" w:rsidRDefault="00432B1E" w:rsidP="00432B1E">
            <w:pPr>
              <w:jc w:val="both"/>
              <w:rPr>
                <w:rFonts w:ascii="Arial" w:hAnsi="Arial" w:cs="Arial"/>
                <w:b/>
                <w:sz w:val="18"/>
              </w:rPr>
            </w:pPr>
            <w:r w:rsidRPr="00432B1E">
              <w:rPr>
                <w:rFonts w:ascii="Arial" w:hAnsi="Arial" w:cs="Arial"/>
                <w:b/>
                <w:sz w:val="18"/>
              </w:rPr>
              <w:t>UE distribution</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2BE86B05" w14:textId="77777777" w:rsidR="00432B1E" w:rsidRPr="00432B1E" w:rsidRDefault="00432B1E" w:rsidP="00F01CA2">
            <w:pPr>
              <w:jc w:val="both"/>
              <w:rPr>
                <w:rFonts w:ascii="Arial" w:hAnsi="Arial" w:cs="Arial"/>
                <w:sz w:val="18"/>
                <w:szCs w:val="18"/>
                <w:u w:val="single"/>
              </w:rPr>
            </w:pPr>
            <w:r w:rsidRPr="00432B1E">
              <w:rPr>
                <w:rFonts w:ascii="Arial" w:hAnsi="Arial" w:cs="Arial"/>
                <w:sz w:val="18"/>
                <w:szCs w:val="18"/>
                <w:u w:val="single"/>
              </w:rPr>
              <w:t xml:space="preserve">For FTP traffic model 3: 2/3 users randomly and uniformly dropped within the clusters, 1/3 users randomly and uniformly dropped throughout the macro </w:t>
            </w:r>
            <w:r w:rsidRPr="00432B1E">
              <w:rPr>
                <w:rFonts w:ascii="Arial" w:hAnsi="Arial" w:cs="Arial"/>
                <w:sz w:val="18"/>
                <w:szCs w:val="18"/>
                <w:u w:val="single"/>
              </w:rPr>
              <w:lastRenderedPageBreak/>
              <w:t>geographical area</w:t>
            </w:r>
            <w:r w:rsidR="00F01CA2">
              <w:rPr>
                <w:rFonts w:ascii="Arial" w:hAnsi="Arial" w:cs="Arial"/>
                <w:sz w:val="18"/>
                <w:szCs w:val="18"/>
                <w:u w:val="single"/>
              </w:rPr>
              <w:t xml:space="preserve">. </w:t>
            </w:r>
            <w:r w:rsidRPr="00432B1E">
              <w:rPr>
                <w:rFonts w:ascii="Arial" w:hAnsi="Arial" w:cs="Arial"/>
                <w:sz w:val="18"/>
                <w:szCs w:val="18"/>
                <w:u w:val="single"/>
              </w:rPr>
              <w:t>80% indoor and 20% outdoor</w:t>
            </w:r>
          </w:p>
        </w:tc>
      </w:tr>
      <w:tr w:rsidR="00432B1E" w:rsidRPr="00AB07ED" w14:paraId="231DE572"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585061D3" w14:textId="77777777" w:rsidR="00432B1E" w:rsidRPr="00432B1E" w:rsidRDefault="00432B1E" w:rsidP="00432B1E">
            <w:pPr>
              <w:jc w:val="both"/>
              <w:rPr>
                <w:rFonts w:ascii="Arial" w:hAnsi="Arial" w:cs="Arial"/>
                <w:b/>
                <w:sz w:val="18"/>
              </w:rPr>
            </w:pPr>
            <w:r w:rsidRPr="00432B1E">
              <w:rPr>
                <w:rFonts w:ascii="Arial" w:hAnsi="Arial" w:cs="Arial"/>
                <w:b/>
                <w:sz w:val="18"/>
              </w:rPr>
              <w:lastRenderedPageBreak/>
              <w:t>UE receiver</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EC5BE2F"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MMSE-IRC </w:t>
            </w:r>
          </w:p>
        </w:tc>
      </w:tr>
      <w:tr w:rsidR="00432B1E" w:rsidRPr="00AB07ED" w14:paraId="0B64C35F"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4CF80E1F"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BS receiver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63428E95"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MMSE-IRC </w:t>
            </w:r>
          </w:p>
        </w:tc>
      </w:tr>
      <w:tr w:rsidR="00432B1E" w:rsidRPr="00AB07ED" w14:paraId="53444DD2"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33A7D3CD" w14:textId="77777777" w:rsidR="00432B1E" w:rsidRPr="00432B1E" w:rsidRDefault="00432B1E" w:rsidP="00432B1E">
            <w:pPr>
              <w:jc w:val="both"/>
              <w:rPr>
                <w:rFonts w:ascii="Arial" w:hAnsi="Arial" w:cs="Arial"/>
                <w:b/>
                <w:sz w:val="18"/>
              </w:rPr>
            </w:pPr>
            <w:r w:rsidRPr="00432B1E">
              <w:rPr>
                <w:rFonts w:ascii="Arial" w:hAnsi="Arial" w:cs="Arial"/>
                <w:b/>
                <w:sz w:val="18"/>
              </w:rPr>
              <w:t>UE association</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48753378"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UE connected to Macro or Micro layer, based on RSRP measurement</w:t>
            </w:r>
          </w:p>
        </w:tc>
      </w:tr>
      <w:tr w:rsidR="00432B1E" w:rsidRPr="00AB07ED" w14:paraId="3F15AA61"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E6A5936" w14:textId="77777777" w:rsidR="00432B1E" w:rsidRPr="00432B1E" w:rsidRDefault="00432B1E" w:rsidP="00432B1E">
            <w:pPr>
              <w:jc w:val="both"/>
              <w:rPr>
                <w:rFonts w:ascii="Arial" w:hAnsi="Arial" w:cs="Arial"/>
                <w:b/>
                <w:sz w:val="18"/>
              </w:rPr>
            </w:pPr>
            <w:r w:rsidRPr="00432B1E">
              <w:rPr>
                <w:rFonts w:ascii="Arial" w:hAnsi="Arial" w:cs="Arial"/>
                <w:b/>
                <w:sz w:val="18"/>
              </w:rPr>
              <w:t>Transmission mode</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50ED6A59"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SU-MIMO </w:t>
            </w:r>
          </w:p>
        </w:tc>
      </w:tr>
    </w:tbl>
    <w:p w14:paraId="3D36211B" w14:textId="77777777" w:rsidR="005E27F9" w:rsidRPr="00510F18" w:rsidRDefault="005E27F9" w:rsidP="005E27F9">
      <w:pPr>
        <w:jc w:val="both"/>
      </w:pPr>
    </w:p>
    <w:sectPr w:rsidR="005E27F9" w:rsidRPr="00510F18" w:rsidSect="00F410F7">
      <w:pgSz w:w="12240" w:h="15840"/>
      <w:pgMar w:top="1417" w:right="1440"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37393"/>
    <w:multiLevelType w:val="hybridMultilevel"/>
    <w:tmpl w:val="4B4ACA7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D5475CE"/>
    <w:multiLevelType w:val="hybridMultilevel"/>
    <w:tmpl w:val="92ECD4D8"/>
    <w:lvl w:ilvl="0" w:tplc="80106CA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A7FEC"/>
    <w:multiLevelType w:val="hybridMultilevel"/>
    <w:tmpl w:val="B82AC6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867F1C"/>
    <w:multiLevelType w:val="hybridMultilevel"/>
    <w:tmpl w:val="7D021E02"/>
    <w:lvl w:ilvl="0" w:tplc="00A2BAA2">
      <w:start w:val="1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C6076"/>
    <w:multiLevelType w:val="hybridMultilevel"/>
    <w:tmpl w:val="9D72AE6E"/>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15D0B53"/>
    <w:multiLevelType w:val="hybridMultilevel"/>
    <w:tmpl w:val="DBEECF18"/>
    <w:lvl w:ilvl="0" w:tplc="1C9CD59C">
      <w:start w:val="18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6"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66D257E"/>
    <w:multiLevelType w:val="hybridMultilevel"/>
    <w:tmpl w:val="2C24A6BE"/>
    <w:lvl w:ilvl="0" w:tplc="4A3C2E7E">
      <w:start w:val="1"/>
      <w:numFmt w:val="bullet"/>
      <w:lvlText w:val="‒"/>
      <w:lvlJc w:val="left"/>
      <w:pPr>
        <w:tabs>
          <w:tab w:val="num" w:pos="720"/>
        </w:tabs>
        <w:ind w:left="720" w:hanging="360"/>
      </w:pPr>
      <w:rPr>
        <w:rFonts w:ascii="Calibri" w:hAnsi="Calibri" w:hint="default"/>
      </w:rPr>
    </w:lvl>
    <w:lvl w:ilvl="1" w:tplc="DFF66E84">
      <w:start w:val="1189"/>
      <w:numFmt w:val="bullet"/>
      <w:lvlText w:val="‒"/>
      <w:lvlJc w:val="left"/>
      <w:pPr>
        <w:tabs>
          <w:tab w:val="num" w:pos="1440"/>
        </w:tabs>
        <w:ind w:left="1440" w:hanging="360"/>
      </w:pPr>
      <w:rPr>
        <w:rFonts w:ascii="Calibri" w:hAnsi="Calibri" w:hint="default"/>
      </w:rPr>
    </w:lvl>
    <w:lvl w:ilvl="2" w:tplc="16CE5ED8" w:tentative="1">
      <w:start w:val="1"/>
      <w:numFmt w:val="bullet"/>
      <w:lvlText w:val="‒"/>
      <w:lvlJc w:val="left"/>
      <w:pPr>
        <w:tabs>
          <w:tab w:val="num" w:pos="2160"/>
        </w:tabs>
        <w:ind w:left="2160" w:hanging="360"/>
      </w:pPr>
      <w:rPr>
        <w:rFonts w:ascii="Calibri" w:hAnsi="Calibri" w:hint="default"/>
      </w:rPr>
    </w:lvl>
    <w:lvl w:ilvl="3" w:tplc="EE968A1A" w:tentative="1">
      <w:start w:val="1"/>
      <w:numFmt w:val="bullet"/>
      <w:lvlText w:val="‒"/>
      <w:lvlJc w:val="left"/>
      <w:pPr>
        <w:tabs>
          <w:tab w:val="num" w:pos="2880"/>
        </w:tabs>
        <w:ind w:left="2880" w:hanging="360"/>
      </w:pPr>
      <w:rPr>
        <w:rFonts w:ascii="Calibri" w:hAnsi="Calibri" w:hint="default"/>
      </w:rPr>
    </w:lvl>
    <w:lvl w:ilvl="4" w:tplc="AC969EB6" w:tentative="1">
      <w:start w:val="1"/>
      <w:numFmt w:val="bullet"/>
      <w:lvlText w:val="‒"/>
      <w:lvlJc w:val="left"/>
      <w:pPr>
        <w:tabs>
          <w:tab w:val="num" w:pos="3600"/>
        </w:tabs>
        <w:ind w:left="3600" w:hanging="360"/>
      </w:pPr>
      <w:rPr>
        <w:rFonts w:ascii="Calibri" w:hAnsi="Calibri" w:hint="default"/>
      </w:rPr>
    </w:lvl>
    <w:lvl w:ilvl="5" w:tplc="2CF63172" w:tentative="1">
      <w:start w:val="1"/>
      <w:numFmt w:val="bullet"/>
      <w:lvlText w:val="‒"/>
      <w:lvlJc w:val="left"/>
      <w:pPr>
        <w:tabs>
          <w:tab w:val="num" w:pos="4320"/>
        </w:tabs>
        <w:ind w:left="4320" w:hanging="360"/>
      </w:pPr>
      <w:rPr>
        <w:rFonts w:ascii="Calibri" w:hAnsi="Calibri" w:hint="default"/>
      </w:rPr>
    </w:lvl>
    <w:lvl w:ilvl="6" w:tplc="3EFA478E" w:tentative="1">
      <w:start w:val="1"/>
      <w:numFmt w:val="bullet"/>
      <w:lvlText w:val="‒"/>
      <w:lvlJc w:val="left"/>
      <w:pPr>
        <w:tabs>
          <w:tab w:val="num" w:pos="5040"/>
        </w:tabs>
        <w:ind w:left="5040" w:hanging="360"/>
      </w:pPr>
      <w:rPr>
        <w:rFonts w:ascii="Calibri" w:hAnsi="Calibri" w:hint="default"/>
      </w:rPr>
    </w:lvl>
    <w:lvl w:ilvl="7" w:tplc="9B0EED4C" w:tentative="1">
      <w:start w:val="1"/>
      <w:numFmt w:val="bullet"/>
      <w:lvlText w:val="‒"/>
      <w:lvlJc w:val="left"/>
      <w:pPr>
        <w:tabs>
          <w:tab w:val="num" w:pos="5760"/>
        </w:tabs>
        <w:ind w:left="5760" w:hanging="360"/>
      </w:pPr>
      <w:rPr>
        <w:rFonts w:ascii="Calibri" w:hAnsi="Calibri" w:hint="default"/>
      </w:rPr>
    </w:lvl>
    <w:lvl w:ilvl="8" w:tplc="1F3A7FF2"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6A564275"/>
    <w:multiLevelType w:val="hybridMultilevel"/>
    <w:tmpl w:val="05DE8692"/>
    <w:lvl w:ilvl="0" w:tplc="16949E50">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7507AD8"/>
    <w:multiLevelType w:val="hybridMultilevel"/>
    <w:tmpl w:val="CA1C1DDC"/>
    <w:lvl w:ilvl="0" w:tplc="3E0CE1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B8156D"/>
    <w:multiLevelType w:val="hybridMultilevel"/>
    <w:tmpl w:val="E0F23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785773"/>
    <w:multiLevelType w:val="hybridMultilevel"/>
    <w:tmpl w:val="3BC2FB66"/>
    <w:lvl w:ilvl="0" w:tplc="2424E648">
      <w:start w:val="1"/>
      <w:numFmt w:val="bullet"/>
      <w:lvlText w:val="›"/>
      <w:lvlJc w:val="left"/>
      <w:pPr>
        <w:tabs>
          <w:tab w:val="num" w:pos="720"/>
        </w:tabs>
        <w:ind w:left="720" w:hanging="360"/>
      </w:pPr>
      <w:rPr>
        <w:rFonts w:ascii="Arial" w:hAnsi="Arial" w:hint="default"/>
      </w:rPr>
    </w:lvl>
    <w:lvl w:ilvl="1" w:tplc="0C402FC4" w:tentative="1">
      <w:start w:val="1"/>
      <w:numFmt w:val="bullet"/>
      <w:lvlText w:val="›"/>
      <w:lvlJc w:val="left"/>
      <w:pPr>
        <w:tabs>
          <w:tab w:val="num" w:pos="1440"/>
        </w:tabs>
        <w:ind w:left="1440" w:hanging="360"/>
      </w:pPr>
      <w:rPr>
        <w:rFonts w:ascii="Arial" w:hAnsi="Arial" w:hint="default"/>
      </w:rPr>
    </w:lvl>
    <w:lvl w:ilvl="2" w:tplc="DF4E7616" w:tentative="1">
      <w:start w:val="1"/>
      <w:numFmt w:val="bullet"/>
      <w:lvlText w:val="›"/>
      <w:lvlJc w:val="left"/>
      <w:pPr>
        <w:tabs>
          <w:tab w:val="num" w:pos="2160"/>
        </w:tabs>
        <w:ind w:left="2160" w:hanging="360"/>
      </w:pPr>
      <w:rPr>
        <w:rFonts w:ascii="Arial" w:hAnsi="Arial" w:hint="default"/>
      </w:rPr>
    </w:lvl>
    <w:lvl w:ilvl="3" w:tplc="8B941F90" w:tentative="1">
      <w:start w:val="1"/>
      <w:numFmt w:val="bullet"/>
      <w:lvlText w:val="›"/>
      <w:lvlJc w:val="left"/>
      <w:pPr>
        <w:tabs>
          <w:tab w:val="num" w:pos="2880"/>
        </w:tabs>
        <w:ind w:left="2880" w:hanging="360"/>
      </w:pPr>
      <w:rPr>
        <w:rFonts w:ascii="Arial" w:hAnsi="Arial" w:hint="default"/>
      </w:rPr>
    </w:lvl>
    <w:lvl w:ilvl="4" w:tplc="626071CE" w:tentative="1">
      <w:start w:val="1"/>
      <w:numFmt w:val="bullet"/>
      <w:lvlText w:val="›"/>
      <w:lvlJc w:val="left"/>
      <w:pPr>
        <w:tabs>
          <w:tab w:val="num" w:pos="3600"/>
        </w:tabs>
        <w:ind w:left="3600" w:hanging="360"/>
      </w:pPr>
      <w:rPr>
        <w:rFonts w:ascii="Arial" w:hAnsi="Arial" w:hint="default"/>
      </w:rPr>
    </w:lvl>
    <w:lvl w:ilvl="5" w:tplc="485414D4" w:tentative="1">
      <w:start w:val="1"/>
      <w:numFmt w:val="bullet"/>
      <w:lvlText w:val="›"/>
      <w:lvlJc w:val="left"/>
      <w:pPr>
        <w:tabs>
          <w:tab w:val="num" w:pos="4320"/>
        </w:tabs>
        <w:ind w:left="4320" w:hanging="360"/>
      </w:pPr>
      <w:rPr>
        <w:rFonts w:ascii="Arial" w:hAnsi="Arial" w:hint="default"/>
      </w:rPr>
    </w:lvl>
    <w:lvl w:ilvl="6" w:tplc="6CEE76F8" w:tentative="1">
      <w:start w:val="1"/>
      <w:numFmt w:val="bullet"/>
      <w:lvlText w:val="›"/>
      <w:lvlJc w:val="left"/>
      <w:pPr>
        <w:tabs>
          <w:tab w:val="num" w:pos="5040"/>
        </w:tabs>
        <w:ind w:left="5040" w:hanging="360"/>
      </w:pPr>
      <w:rPr>
        <w:rFonts w:ascii="Arial" w:hAnsi="Arial" w:hint="default"/>
      </w:rPr>
    </w:lvl>
    <w:lvl w:ilvl="7" w:tplc="A5308E7A" w:tentative="1">
      <w:start w:val="1"/>
      <w:numFmt w:val="bullet"/>
      <w:lvlText w:val="›"/>
      <w:lvlJc w:val="left"/>
      <w:pPr>
        <w:tabs>
          <w:tab w:val="num" w:pos="5760"/>
        </w:tabs>
        <w:ind w:left="5760" w:hanging="360"/>
      </w:pPr>
      <w:rPr>
        <w:rFonts w:ascii="Arial" w:hAnsi="Arial" w:hint="default"/>
      </w:rPr>
    </w:lvl>
    <w:lvl w:ilvl="8" w:tplc="7C3A5D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
  </w:num>
  <w:num w:numId="3">
    <w:abstractNumId w:val="6"/>
  </w:num>
  <w:num w:numId="4">
    <w:abstractNumId w:val="16"/>
  </w:num>
  <w:num w:numId="5">
    <w:abstractNumId w:val="7"/>
  </w:num>
  <w:num w:numId="6">
    <w:abstractNumId w:val="11"/>
  </w:num>
  <w:num w:numId="7">
    <w:abstractNumId w:val="13"/>
  </w:num>
  <w:num w:numId="8">
    <w:abstractNumId w:val="9"/>
  </w:num>
  <w:num w:numId="9">
    <w:abstractNumId w:val="19"/>
  </w:num>
  <w:num w:numId="10">
    <w:abstractNumId w:val="18"/>
  </w:num>
  <w:num w:numId="11">
    <w:abstractNumId w:val="21"/>
  </w:num>
  <w:num w:numId="12">
    <w:abstractNumId w:val="5"/>
  </w:num>
  <w:num w:numId="13">
    <w:abstractNumId w:val="3"/>
  </w:num>
  <w:num w:numId="14">
    <w:abstractNumId w:val="14"/>
  </w:num>
  <w:num w:numId="15">
    <w:abstractNumId w:val="1"/>
  </w:num>
  <w:num w:numId="16">
    <w:abstractNumId w:val="22"/>
  </w:num>
  <w:num w:numId="17">
    <w:abstractNumId w:val="12"/>
  </w:num>
  <w:num w:numId="18">
    <w:abstractNumId w:val="23"/>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7"/>
  </w:num>
  <w:num w:numId="23">
    <w:abstractNumId w:val="15"/>
  </w:num>
  <w:num w:numId="24">
    <w:abstractNumId w:val="8"/>
  </w:num>
  <w:num w:numId="25">
    <w:abstractNumId w:val="10"/>
  </w:num>
  <w:num w:numId="26">
    <w:abstractNumId w:val="2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15C19"/>
    <w:rsid w:val="00015FA3"/>
    <w:rsid w:val="00017980"/>
    <w:rsid w:val="0002329C"/>
    <w:rsid w:val="000246B6"/>
    <w:rsid w:val="00036F5E"/>
    <w:rsid w:val="00040A4C"/>
    <w:rsid w:val="000458F1"/>
    <w:rsid w:val="00057084"/>
    <w:rsid w:val="00066BE2"/>
    <w:rsid w:val="000713E2"/>
    <w:rsid w:val="00082907"/>
    <w:rsid w:val="00085995"/>
    <w:rsid w:val="00093898"/>
    <w:rsid w:val="000A3E5D"/>
    <w:rsid w:val="000A6ED3"/>
    <w:rsid w:val="000C0578"/>
    <w:rsid w:val="000C4783"/>
    <w:rsid w:val="000C5230"/>
    <w:rsid w:val="000C7877"/>
    <w:rsid w:val="000D2EC2"/>
    <w:rsid w:val="000E51FE"/>
    <w:rsid w:val="000E610D"/>
    <w:rsid w:val="000E6411"/>
    <w:rsid w:val="000F1B6D"/>
    <w:rsid w:val="000F2421"/>
    <w:rsid w:val="00100216"/>
    <w:rsid w:val="001002E2"/>
    <w:rsid w:val="00103529"/>
    <w:rsid w:val="0011133B"/>
    <w:rsid w:val="00112C00"/>
    <w:rsid w:val="00112E40"/>
    <w:rsid w:val="001173BC"/>
    <w:rsid w:val="00120F8D"/>
    <w:rsid w:val="00122163"/>
    <w:rsid w:val="00127376"/>
    <w:rsid w:val="0013001D"/>
    <w:rsid w:val="00130584"/>
    <w:rsid w:val="00130A38"/>
    <w:rsid w:val="001326D3"/>
    <w:rsid w:val="0013528D"/>
    <w:rsid w:val="00137435"/>
    <w:rsid w:val="0014525B"/>
    <w:rsid w:val="00153462"/>
    <w:rsid w:val="00157BE3"/>
    <w:rsid w:val="00162E84"/>
    <w:rsid w:val="001824D7"/>
    <w:rsid w:val="00191ABB"/>
    <w:rsid w:val="001920C1"/>
    <w:rsid w:val="001A2FFC"/>
    <w:rsid w:val="001A52BB"/>
    <w:rsid w:val="001B33BB"/>
    <w:rsid w:val="001B3786"/>
    <w:rsid w:val="001C10F9"/>
    <w:rsid w:val="001E23A3"/>
    <w:rsid w:val="001E3152"/>
    <w:rsid w:val="001E5F69"/>
    <w:rsid w:val="001F06FE"/>
    <w:rsid w:val="001F39CD"/>
    <w:rsid w:val="001F3A55"/>
    <w:rsid w:val="002040E6"/>
    <w:rsid w:val="002057A0"/>
    <w:rsid w:val="00210DE0"/>
    <w:rsid w:val="00221523"/>
    <w:rsid w:val="00224151"/>
    <w:rsid w:val="00225BDF"/>
    <w:rsid w:val="0024662B"/>
    <w:rsid w:val="00250830"/>
    <w:rsid w:val="00250B34"/>
    <w:rsid w:val="00254977"/>
    <w:rsid w:val="00260842"/>
    <w:rsid w:val="00284D9B"/>
    <w:rsid w:val="00295D38"/>
    <w:rsid w:val="002A775C"/>
    <w:rsid w:val="002B047E"/>
    <w:rsid w:val="002B3029"/>
    <w:rsid w:val="002B6844"/>
    <w:rsid w:val="002C2764"/>
    <w:rsid w:val="002C777A"/>
    <w:rsid w:val="002C7A64"/>
    <w:rsid w:val="002F5704"/>
    <w:rsid w:val="00302688"/>
    <w:rsid w:val="00302ADE"/>
    <w:rsid w:val="003036B0"/>
    <w:rsid w:val="00304FAC"/>
    <w:rsid w:val="00317E5F"/>
    <w:rsid w:val="0032044F"/>
    <w:rsid w:val="00320EC5"/>
    <w:rsid w:val="00327D85"/>
    <w:rsid w:val="003342C8"/>
    <w:rsid w:val="003344F3"/>
    <w:rsid w:val="00343A97"/>
    <w:rsid w:val="00350AD4"/>
    <w:rsid w:val="003676E0"/>
    <w:rsid w:val="00380ECB"/>
    <w:rsid w:val="00385B73"/>
    <w:rsid w:val="00385DD1"/>
    <w:rsid w:val="00392393"/>
    <w:rsid w:val="003A79AB"/>
    <w:rsid w:val="003B163E"/>
    <w:rsid w:val="003B5C0D"/>
    <w:rsid w:val="003B704B"/>
    <w:rsid w:val="003C0841"/>
    <w:rsid w:val="003C4B2B"/>
    <w:rsid w:val="003C72B6"/>
    <w:rsid w:val="003D3A36"/>
    <w:rsid w:val="003E1E51"/>
    <w:rsid w:val="003E5BB0"/>
    <w:rsid w:val="00407021"/>
    <w:rsid w:val="004144BA"/>
    <w:rsid w:val="004177A0"/>
    <w:rsid w:val="0042082E"/>
    <w:rsid w:val="0042288A"/>
    <w:rsid w:val="00432B1E"/>
    <w:rsid w:val="00436748"/>
    <w:rsid w:val="004439EC"/>
    <w:rsid w:val="004445F3"/>
    <w:rsid w:val="00457653"/>
    <w:rsid w:val="0045771D"/>
    <w:rsid w:val="004746A2"/>
    <w:rsid w:val="00474EF3"/>
    <w:rsid w:val="004769BB"/>
    <w:rsid w:val="00481C6D"/>
    <w:rsid w:val="00487384"/>
    <w:rsid w:val="004901C7"/>
    <w:rsid w:val="00492325"/>
    <w:rsid w:val="00494019"/>
    <w:rsid w:val="004A6C9B"/>
    <w:rsid w:val="004B47CF"/>
    <w:rsid w:val="004C4715"/>
    <w:rsid w:val="004D45D1"/>
    <w:rsid w:val="004D49A7"/>
    <w:rsid w:val="004D7C54"/>
    <w:rsid w:val="004F1A79"/>
    <w:rsid w:val="004F42FB"/>
    <w:rsid w:val="004F45B9"/>
    <w:rsid w:val="00502083"/>
    <w:rsid w:val="00510F18"/>
    <w:rsid w:val="005164FE"/>
    <w:rsid w:val="00524BBE"/>
    <w:rsid w:val="00527208"/>
    <w:rsid w:val="00536FDD"/>
    <w:rsid w:val="00544AC7"/>
    <w:rsid w:val="00551443"/>
    <w:rsid w:val="00552672"/>
    <w:rsid w:val="00553520"/>
    <w:rsid w:val="005549B8"/>
    <w:rsid w:val="00566A1E"/>
    <w:rsid w:val="00567905"/>
    <w:rsid w:val="00570629"/>
    <w:rsid w:val="00570EEB"/>
    <w:rsid w:val="005740E5"/>
    <w:rsid w:val="005825EE"/>
    <w:rsid w:val="00582E37"/>
    <w:rsid w:val="00585A8F"/>
    <w:rsid w:val="00587BFF"/>
    <w:rsid w:val="0059666E"/>
    <w:rsid w:val="005B43FF"/>
    <w:rsid w:val="005C00B9"/>
    <w:rsid w:val="005C01A4"/>
    <w:rsid w:val="005C43AF"/>
    <w:rsid w:val="005C504B"/>
    <w:rsid w:val="005D2421"/>
    <w:rsid w:val="005D419D"/>
    <w:rsid w:val="005D7A30"/>
    <w:rsid w:val="005E27F9"/>
    <w:rsid w:val="005F38D0"/>
    <w:rsid w:val="005F50CF"/>
    <w:rsid w:val="006040BD"/>
    <w:rsid w:val="00616BF7"/>
    <w:rsid w:val="00631B7D"/>
    <w:rsid w:val="00631D0E"/>
    <w:rsid w:val="00641D05"/>
    <w:rsid w:val="006428BD"/>
    <w:rsid w:val="00646594"/>
    <w:rsid w:val="00650DFB"/>
    <w:rsid w:val="00651C53"/>
    <w:rsid w:val="00653B0D"/>
    <w:rsid w:val="00660D13"/>
    <w:rsid w:val="006739CD"/>
    <w:rsid w:val="00696EE9"/>
    <w:rsid w:val="0069737F"/>
    <w:rsid w:val="00697705"/>
    <w:rsid w:val="006A1AC3"/>
    <w:rsid w:val="006A1D4D"/>
    <w:rsid w:val="006A2BD5"/>
    <w:rsid w:val="006A3A54"/>
    <w:rsid w:val="006B2B29"/>
    <w:rsid w:val="006B3F0B"/>
    <w:rsid w:val="006C3209"/>
    <w:rsid w:val="006C5322"/>
    <w:rsid w:val="006D1688"/>
    <w:rsid w:val="006D1CC4"/>
    <w:rsid w:val="006D3E3B"/>
    <w:rsid w:val="006D50D6"/>
    <w:rsid w:val="006D774A"/>
    <w:rsid w:val="006E308A"/>
    <w:rsid w:val="006E48D6"/>
    <w:rsid w:val="006F0995"/>
    <w:rsid w:val="00713965"/>
    <w:rsid w:val="00725B7F"/>
    <w:rsid w:val="00730D6C"/>
    <w:rsid w:val="00732243"/>
    <w:rsid w:val="00732545"/>
    <w:rsid w:val="00737885"/>
    <w:rsid w:val="0074094A"/>
    <w:rsid w:val="007424E0"/>
    <w:rsid w:val="00746C9B"/>
    <w:rsid w:val="00752444"/>
    <w:rsid w:val="00754438"/>
    <w:rsid w:val="00754E01"/>
    <w:rsid w:val="00761D18"/>
    <w:rsid w:val="007677F5"/>
    <w:rsid w:val="007839A9"/>
    <w:rsid w:val="00786937"/>
    <w:rsid w:val="007871A4"/>
    <w:rsid w:val="00792756"/>
    <w:rsid w:val="007937F6"/>
    <w:rsid w:val="00797840"/>
    <w:rsid w:val="007A63B0"/>
    <w:rsid w:val="007B09DD"/>
    <w:rsid w:val="007C0300"/>
    <w:rsid w:val="007C4478"/>
    <w:rsid w:val="007C5560"/>
    <w:rsid w:val="007C7170"/>
    <w:rsid w:val="007E3266"/>
    <w:rsid w:val="007E39C6"/>
    <w:rsid w:val="007E50BF"/>
    <w:rsid w:val="007E7EF9"/>
    <w:rsid w:val="007F1DE0"/>
    <w:rsid w:val="007F5C12"/>
    <w:rsid w:val="007F6408"/>
    <w:rsid w:val="00800BEC"/>
    <w:rsid w:val="0080142E"/>
    <w:rsid w:val="00805CF0"/>
    <w:rsid w:val="00807467"/>
    <w:rsid w:val="00807936"/>
    <w:rsid w:val="0082197E"/>
    <w:rsid w:val="00826896"/>
    <w:rsid w:val="00843CA2"/>
    <w:rsid w:val="00847BAF"/>
    <w:rsid w:val="00851AFF"/>
    <w:rsid w:val="008522A8"/>
    <w:rsid w:val="008641BF"/>
    <w:rsid w:val="00871B8C"/>
    <w:rsid w:val="00874CC5"/>
    <w:rsid w:val="00875EB1"/>
    <w:rsid w:val="00896320"/>
    <w:rsid w:val="008A1390"/>
    <w:rsid w:val="008A19DE"/>
    <w:rsid w:val="008A2470"/>
    <w:rsid w:val="008A313F"/>
    <w:rsid w:val="008A39C8"/>
    <w:rsid w:val="008C24D1"/>
    <w:rsid w:val="008D116E"/>
    <w:rsid w:val="008D3FB0"/>
    <w:rsid w:val="008D4896"/>
    <w:rsid w:val="008D5EE7"/>
    <w:rsid w:val="008D7659"/>
    <w:rsid w:val="008E1BCF"/>
    <w:rsid w:val="008E1BEF"/>
    <w:rsid w:val="008F1727"/>
    <w:rsid w:val="008F2E26"/>
    <w:rsid w:val="008F4D9B"/>
    <w:rsid w:val="008F7C45"/>
    <w:rsid w:val="00903249"/>
    <w:rsid w:val="00910327"/>
    <w:rsid w:val="0091130F"/>
    <w:rsid w:val="009129F7"/>
    <w:rsid w:val="00914DA4"/>
    <w:rsid w:val="0092267E"/>
    <w:rsid w:val="00930696"/>
    <w:rsid w:val="00930EE4"/>
    <w:rsid w:val="00933FC9"/>
    <w:rsid w:val="00942214"/>
    <w:rsid w:val="00946939"/>
    <w:rsid w:val="00952ED7"/>
    <w:rsid w:val="00955CF1"/>
    <w:rsid w:val="009657A4"/>
    <w:rsid w:val="0097382B"/>
    <w:rsid w:val="009738B3"/>
    <w:rsid w:val="00974B02"/>
    <w:rsid w:val="00976D4C"/>
    <w:rsid w:val="00981CB7"/>
    <w:rsid w:val="0098336A"/>
    <w:rsid w:val="009967E5"/>
    <w:rsid w:val="009A0069"/>
    <w:rsid w:val="009A1130"/>
    <w:rsid w:val="009A5FE2"/>
    <w:rsid w:val="009B0B09"/>
    <w:rsid w:val="009B5ED9"/>
    <w:rsid w:val="009B7CA6"/>
    <w:rsid w:val="009C0295"/>
    <w:rsid w:val="009C2034"/>
    <w:rsid w:val="009C74D4"/>
    <w:rsid w:val="009C75D2"/>
    <w:rsid w:val="009D5E6F"/>
    <w:rsid w:val="009D6006"/>
    <w:rsid w:val="009E1EBC"/>
    <w:rsid w:val="009E65D4"/>
    <w:rsid w:val="009F4081"/>
    <w:rsid w:val="009F523A"/>
    <w:rsid w:val="009F6E28"/>
    <w:rsid w:val="00A019AB"/>
    <w:rsid w:val="00A0720B"/>
    <w:rsid w:val="00A10AD1"/>
    <w:rsid w:val="00A31634"/>
    <w:rsid w:val="00A35CED"/>
    <w:rsid w:val="00A36CD6"/>
    <w:rsid w:val="00A40685"/>
    <w:rsid w:val="00A41437"/>
    <w:rsid w:val="00A43DAC"/>
    <w:rsid w:val="00A443E2"/>
    <w:rsid w:val="00A4549F"/>
    <w:rsid w:val="00A52B70"/>
    <w:rsid w:val="00A534E4"/>
    <w:rsid w:val="00A5395E"/>
    <w:rsid w:val="00A554B3"/>
    <w:rsid w:val="00A65AD7"/>
    <w:rsid w:val="00A67675"/>
    <w:rsid w:val="00A7001B"/>
    <w:rsid w:val="00A72DBD"/>
    <w:rsid w:val="00A85FB3"/>
    <w:rsid w:val="00A967CC"/>
    <w:rsid w:val="00A96BCB"/>
    <w:rsid w:val="00AB2FDD"/>
    <w:rsid w:val="00AC308E"/>
    <w:rsid w:val="00AC643E"/>
    <w:rsid w:val="00AD03DF"/>
    <w:rsid w:val="00AD06B7"/>
    <w:rsid w:val="00AD2F6C"/>
    <w:rsid w:val="00AE377F"/>
    <w:rsid w:val="00AE70CB"/>
    <w:rsid w:val="00B05BC7"/>
    <w:rsid w:val="00B113D1"/>
    <w:rsid w:val="00B73E6A"/>
    <w:rsid w:val="00B75C4A"/>
    <w:rsid w:val="00B923DD"/>
    <w:rsid w:val="00B96D10"/>
    <w:rsid w:val="00BA6190"/>
    <w:rsid w:val="00BB37DB"/>
    <w:rsid w:val="00BB464D"/>
    <w:rsid w:val="00BC0EF9"/>
    <w:rsid w:val="00BC649A"/>
    <w:rsid w:val="00BD14C6"/>
    <w:rsid w:val="00BE103A"/>
    <w:rsid w:val="00BE7960"/>
    <w:rsid w:val="00BF6586"/>
    <w:rsid w:val="00BF68B8"/>
    <w:rsid w:val="00C01A99"/>
    <w:rsid w:val="00C179AF"/>
    <w:rsid w:val="00C203E6"/>
    <w:rsid w:val="00C24A0B"/>
    <w:rsid w:val="00C3094B"/>
    <w:rsid w:val="00C33540"/>
    <w:rsid w:val="00C33678"/>
    <w:rsid w:val="00C404DC"/>
    <w:rsid w:val="00C43944"/>
    <w:rsid w:val="00C564E9"/>
    <w:rsid w:val="00C819E0"/>
    <w:rsid w:val="00C82EC5"/>
    <w:rsid w:val="00C92091"/>
    <w:rsid w:val="00C95162"/>
    <w:rsid w:val="00CA6A08"/>
    <w:rsid w:val="00CB31B2"/>
    <w:rsid w:val="00CB630E"/>
    <w:rsid w:val="00CB7F9A"/>
    <w:rsid w:val="00CC15B5"/>
    <w:rsid w:val="00CC2705"/>
    <w:rsid w:val="00CC3F69"/>
    <w:rsid w:val="00CD4BDC"/>
    <w:rsid w:val="00CE2648"/>
    <w:rsid w:val="00CF0D24"/>
    <w:rsid w:val="00CF79C3"/>
    <w:rsid w:val="00D22280"/>
    <w:rsid w:val="00D2426B"/>
    <w:rsid w:val="00D24F06"/>
    <w:rsid w:val="00D26564"/>
    <w:rsid w:val="00D30BC9"/>
    <w:rsid w:val="00D32C74"/>
    <w:rsid w:val="00D44844"/>
    <w:rsid w:val="00D46A5B"/>
    <w:rsid w:val="00D47B89"/>
    <w:rsid w:val="00D56D05"/>
    <w:rsid w:val="00D57802"/>
    <w:rsid w:val="00D6027D"/>
    <w:rsid w:val="00D66533"/>
    <w:rsid w:val="00D71762"/>
    <w:rsid w:val="00D7387D"/>
    <w:rsid w:val="00D744C0"/>
    <w:rsid w:val="00D75970"/>
    <w:rsid w:val="00D90AFD"/>
    <w:rsid w:val="00D92BF8"/>
    <w:rsid w:val="00D93B00"/>
    <w:rsid w:val="00DA5E21"/>
    <w:rsid w:val="00DB0A1E"/>
    <w:rsid w:val="00DC0023"/>
    <w:rsid w:val="00DC25E0"/>
    <w:rsid w:val="00DC3F6B"/>
    <w:rsid w:val="00DC4196"/>
    <w:rsid w:val="00DC5529"/>
    <w:rsid w:val="00DD440D"/>
    <w:rsid w:val="00DF0755"/>
    <w:rsid w:val="00DF09A6"/>
    <w:rsid w:val="00DF666D"/>
    <w:rsid w:val="00E101B8"/>
    <w:rsid w:val="00E108B2"/>
    <w:rsid w:val="00E136A8"/>
    <w:rsid w:val="00E16242"/>
    <w:rsid w:val="00E231AA"/>
    <w:rsid w:val="00E250A8"/>
    <w:rsid w:val="00E27FF2"/>
    <w:rsid w:val="00E35A1C"/>
    <w:rsid w:val="00E44734"/>
    <w:rsid w:val="00E46E40"/>
    <w:rsid w:val="00E51EB4"/>
    <w:rsid w:val="00E75DC6"/>
    <w:rsid w:val="00E77B4F"/>
    <w:rsid w:val="00E82A60"/>
    <w:rsid w:val="00E85899"/>
    <w:rsid w:val="00EB7F7D"/>
    <w:rsid w:val="00EC1807"/>
    <w:rsid w:val="00EC4AA0"/>
    <w:rsid w:val="00ED2335"/>
    <w:rsid w:val="00ED31AB"/>
    <w:rsid w:val="00ED72F7"/>
    <w:rsid w:val="00EF7C16"/>
    <w:rsid w:val="00F01CA2"/>
    <w:rsid w:val="00F06989"/>
    <w:rsid w:val="00F14A0B"/>
    <w:rsid w:val="00F322D0"/>
    <w:rsid w:val="00F410F7"/>
    <w:rsid w:val="00F42088"/>
    <w:rsid w:val="00F5371A"/>
    <w:rsid w:val="00F64394"/>
    <w:rsid w:val="00F733E1"/>
    <w:rsid w:val="00F90F45"/>
    <w:rsid w:val="00F96254"/>
    <w:rsid w:val="00F9643C"/>
    <w:rsid w:val="00F9708E"/>
    <w:rsid w:val="00FB5817"/>
    <w:rsid w:val="00FC304E"/>
    <w:rsid w:val="00FC68E1"/>
    <w:rsid w:val="00FD0C5C"/>
    <w:rsid w:val="00FD0FD7"/>
    <w:rsid w:val="00FD4706"/>
    <w:rsid w:val="00FE1AFF"/>
    <w:rsid w:val="00FE25F3"/>
    <w:rsid w:val="00FE7644"/>
    <w:rsid w:val="00FF37D2"/>
    <w:rsid w:val="00FF533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2DDBD4AC"/>
  <w15:chartTrackingRefBased/>
  <w15:docId w15:val="{D8657F91-E9AF-4130-B270-5FC0F9B72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customStyle="1" w:styleId="CRCoverPage">
    <w:name w:val="CR Cover Page"/>
    <w:rsid w:val="007839A9"/>
    <w:pPr>
      <w:spacing w:after="120"/>
    </w:pPr>
    <w:rPr>
      <w:rFonts w:ascii="Arial" w:eastAsia="Times New Roman" w:hAnsi="Arial"/>
      <w:lang w:val="en-GB"/>
    </w:rPr>
  </w:style>
  <w:style w:type="paragraph" w:styleId="BodyText">
    <w:name w:val="Body Text"/>
    <w:basedOn w:val="Normal"/>
    <w:link w:val="BodyTextChar"/>
    <w:rsid w:val="00D32C74"/>
    <w:pPr>
      <w:spacing w:after="180"/>
    </w:pPr>
    <w:rPr>
      <w:rFonts w:eastAsia="SimSun"/>
      <w:sz w:val="20"/>
      <w:szCs w:val="20"/>
      <w:lang w:val="en-GB" w:eastAsia="x-none"/>
    </w:rPr>
  </w:style>
  <w:style w:type="character" w:customStyle="1" w:styleId="BodyTextChar">
    <w:name w:val="Body Text Char"/>
    <w:link w:val="BodyText"/>
    <w:rsid w:val="00D32C74"/>
    <w:rPr>
      <w:rFonts w:eastAsia="SimSun"/>
      <w:lang w:val="en-GB" w:eastAsia="x-none"/>
    </w:rPr>
  </w:style>
  <w:style w:type="paragraph" w:customStyle="1" w:styleId="TH">
    <w:name w:val="TH"/>
    <w:basedOn w:val="Normal"/>
    <w:link w:val="THChar"/>
    <w:rsid w:val="008C24D1"/>
    <w:pPr>
      <w:keepNext/>
      <w:keepLines/>
      <w:spacing w:before="60" w:after="180"/>
      <w:jc w:val="center"/>
    </w:pPr>
    <w:rPr>
      <w:rFonts w:ascii="Arial" w:eastAsia="SimSun" w:hAnsi="Arial"/>
      <w:b/>
      <w:sz w:val="20"/>
      <w:szCs w:val="20"/>
      <w:lang w:val="en-GB" w:eastAsia="x-none"/>
    </w:rPr>
  </w:style>
  <w:style w:type="character" w:customStyle="1" w:styleId="THChar">
    <w:name w:val="TH Char"/>
    <w:link w:val="TH"/>
    <w:rsid w:val="008C24D1"/>
    <w:rPr>
      <w:rFonts w:ascii="Arial" w:eastAsia="SimSun" w:hAnsi="Arial"/>
      <w:b/>
      <w:lang w:val="en-GB" w:eastAsia="x-none"/>
    </w:rPr>
  </w:style>
  <w:style w:type="character" w:customStyle="1" w:styleId="TALCar">
    <w:name w:val="TAL Car"/>
    <w:rsid w:val="008C24D1"/>
    <w:rPr>
      <w:rFonts w:ascii="Arial" w:eastAsia="SimSun" w:hAnsi="Arial" w:cs="Times New Roman"/>
      <w:sz w:val="18"/>
      <w:szCs w:val="20"/>
      <w:lang w:val="en-GB" w:eastAsia="x-none"/>
    </w:rPr>
  </w:style>
  <w:style w:type="paragraph" w:styleId="NormalWeb">
    <w:name w:val="Normal (Web)"/>
    <w:basedOn w:val="Normal"/>
    <w:uiPriority w:val="99"/>
    <w:rsid w:val="008C24D1"/>
    <w:pPr>
      <w:spacing w:before="100" w:beforeAutospacing="1" w:after="100" w:afterAutospacing="1"/>
    </w:pPr>
    <w:rPr>
      <w:rFonts w:eastAsia="Arial Unicode MS"/>
      <w:sz w:val="24"/>
      <w:lang w:val="en-GB"/>
    </w:rPr>
  </w:style>
  <w:style w:type="character" w:customStyle="1" w:styleId="TAHCar">
    <w:name w:val="TAH Car"/>
    <w:rsid w:val="008C24D1"/>
    <w:rPr>
      <w:rFonts w:ascii="Arial" w:eastAsia="SimSun" w:hAnsi="Arial" w:cs="Times New Roman"/>
      <w:b/>
      <w:sz w:val="18"/>
      <w:szCs w:val="20"/>
      <w:lang w:val="en-GB"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725B7F"/>
    <w:rPr>
      <w:b/>
      <w:bCs/>
      <w:lang w:eastAsia="ja-JP"/>
    </w:rPr>
  </w:style>
  <w:style w:type="paragraph" w:styleId="Revision">
    <w:name w:val="Revision"/>
    <w:hidden/>
    <w:uiPriority w:val="99"/>
    <w:semiHidden/>
    <w:rsid w:val="00D24F06"/>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97624">
      <w:bodyDiv w:val="1"/>
      <w:marLeft w:val="0"/>
      <w:marRight w:val="0"/>
      <w:marTop w:val="0"/>
      <w:marBottom w:val="0"/>
      <w:divBdr>
        <w:top w:val="none" w:sz="0" w:space="0" w:color="auto"/>
        <w:left w:val="none" w:sz="0" w:space="0" w:color="auto"/>
        <w:bottom w:val="none" w:sz="0" w:space="0" w:color="auto"/>
        <w:right w:val="none" w:sz="0" w:space="0" w:color="auto"/>
      </w:divBdr>
    </w:div>
    <w:div w:id="856430142">
      <w:bodyDiv w:val="1"/>
      <w:marLeft w:val="0"/>
      <w:marRight w:val="0"/>
      <w:marTop w:val="0"/>
      <w:marBottom w:val="0"/>
      <w:divBdr>
        <w:top w:val="none" w:sz="0" w:space="0" w:color="auto"/>
        <w:left w:val="none" w:sz="0" w:space="0" w:color="auto"/>
        <w:bottom w:val="none" w:sz="0" w:space="0" w:color="auto"/>
        <w:right w:val="none" w:sz="0" w:space="0" w:color="auto"/>
      </w:divBdr>
    </w:div>
    <w:div w:id="1104805976">
      <w:bodyDiv w:val="1"/>
      <w:marLeft w:val="0"/>
      <w:marRight w:val="0"/>
      <w:marTop w:val="0"/>
      <w:marBottom w:val="0"/>
      <w:divBdr>
        <w:top w:val="none" w:sz="0" w:space="0" w:color="auto"/>
        <w:left w:val="none" w:sz="0" w:space="0" w:color="auto"/>
        <w:bottom w:val="none" w:sz="0" w:space="0" w:color="auto"/>
        <w:right w:val="none" w:sz="0" w:space="0" w:color="auto"/>
      </w:divBdr>
    </w:div>
    <w:div w:id="1484539417">
      <w:bodyDiv w:val="1"/>
      <w:marLeft w:val="0"/>
      <w:marRight w:val="0"/>
      <w:marTop w:val="0"/>
      <w:marBottom w:val="0"/>
      <w:divBdr>
        <w:top w:val="none" w:sz="0" w:space="0" w:color="auto"/>
        <w:left w:val="none" w:sz="0" w:space="0" w:color="auto"/>
        <w:bottom w:val="none" w:sz="0" w:space="0" w:color="auto"/>
        <w:right w:val="none" w:sz="0" w:space="0" w:color="auto"/>
      </w:divBdr>
      <w:divsChild>
        <w:div w:id="1238974260">
          <w:marLeft w:val="274"/>
          <w:marRight w:val="0"/>
          <w:marTop w:val="115"/>
          <w:marBottom w:val="0"/>
          <w:divBdr>
            <w:top w:val="none" w:sz="0" w:space="0" w:color="auto"/>
            <w:left w:val="none" w:sz="0" w:space="0" w:color="auto"/>
            <w:bottom w:val="none" w:sz="0" w:space="0" w:color="auto"/>
            <w:right w:val="none" w:sz="0" w:space="0" w:color="auto"/>
          </w:divBdr>
        </w:div>
        <w:div w:id="1438283765">
          <w:marLeft w:val="274"/>
          <w:marRight w:val="0"/>
          <w:marTop w:val="115"/>
          <w:marBottom w:val="0"/>
          <w:divBdr>
            <w:top w:val="none" w:sz="0" w:space="0" w:color="auto"/>
            <w:left w:val="none" w:sz="0" w:space="0" w:color="auto"/>
            <w:bottom w:val="none" w:sz="0" w:space="0" w:color="auto"/>
            <w:right w:val="none" w:sz="0" w:space="0" w:color="auto"/>
          </w:divBdr>
        </w:div>
      </w:divsChild>
    </w:div>
    <w:div w:id="1504392796">
      <w:bodyDiv w:val="1"/>
      <w:marLeft w:val="0"/>
      <w:marRight w:val="0"/>
      <w:marTop w:val="0"/>
      <w:marBottom w:val="0"/>
      <w:divBdr>
        <w:top w:val="none" w:sz="0" w:space="0" w:color="auto"/>
        <w:left w:val="none" w:sz="0" w:space="0" w:color="auto"/>
        <w:bottom w:val="none" w:sz="0" w:space="0" w:color="auto"/>
        <w:right w:val="none" w:sz="0" w:space="0" w:color="auto"/>
      </w:divBdr>
    </w:div>
    <w:div w:id="1572737425">
      <w:bodyDiv w:val="1"/>
      <w:marLeft w:val="0"/>
      <w:marRight w:val="0"/>
      <w:marTop w:val="0"/>
      <w:marBottom w:val="0"/>
      <w:divBdr>
        <w:top w:val="none" w:sz="0" w:space="0" w:color="auto"/>
        <w:left w:val="none" w:sz="0" w:space="0" w:color="auto"/>
        <w:bottom w:val="none" w:sz="0" w:space="0" w:color="auto"/>
        <w:right w:val="none" w:sz="0" w:space="0" w:color="auto"/>
      </w:divBdr>
    </w:div>
    <w:div w:id="1972050199">
      <w:bodyDiv w:val="1"/>
      <w:marLeft w:val="0"/>
      <w:marRight w:val="0"/>
      <w:marTop w:val="0"/>
      <w:marBottom w:val="0"/>
      <w:divBdr>
        <w:top w:val="none" w:sz="0" w:space="0" w:color="auto"/>
        <w:left w:val="none" w:sz="0" w:space="0" w:color="auto"/>
        <w:bottom w:val="none" w:sz="0" w:space="0" w:color="auto"/>
        <w:right w:val="none" w:sz="0" w:space="0" w:color="auto"/>
      </w:divBdr>
      <w:divsChild>
        <w:div w:id="495800041">
          <w:marLeft w:val="274"/>
          <w:marRight w:val="0"/>
          <w:marTop w:val="115"/>
          <w:marBottom w:val="0"/>
          <w:divBdr>
            <w:top w:val="none" w:sz="0" w:space="0" w:color="auto"/>
            <w:left w:val="none" w:sz="0" w:space="0" w:color="auto"/>
            <w:bottom w:val="none" w:sz="0" w:space="0" w:color="auto"/>
            <w:right w:val="none" w:sz="0" w:space="0" w:color="auto"/>
          </w:divBdr>
        </w:div>
        <w:div w:id="692656009">
          <w:marLeft w:val="274"/>
          <w:marRight w:val="0"/>
          <w:marTop w:val="115"/>
          <w:marBottom w:val="0"/>
          <w:divBdr>
            <w:top w:val="none" w:sz="0" w:space="0" w:color="auto"/>
            <w:left w:val="none" w:sz="0" w:space="0" w:color="auto"/>
            <w:bottom w:val="none" w:sz="0" w:space="0" w:color="auto"/>
            <w:right w:val="none" w:sz="0" w:space="0" w:color="auto"/>
          </w:divBdr>
        </w:div>
        <w:div w:id="2031638608">
          <w:marLeft w:val="274"/>
          <w:marRight w:val="0"/>
          <w:marTop w:val="115"/>
          <w:marBottom w:val="0"/>
          <w:divBdr>
            <w:top w:val="none" w:sz="0" w:space="0" w:color="auto"/>
            <w:left w:val="none" w:sz="0" w:space="0" w:color="auto"/>
            <w:bottom w:val="none" w:sz="0" w:space="0" w:color="auto"/>
            <w:right w:val="none" w:sz="0" w:space="0" w:color="auto"/>
          </w:divBdr>
        </w:div>
      </w:divsChild>
    </w:div>
    <w:div w:id="2010521676">
      <w:bodyDiv w:val="1"/>
      <w:marLeft w:val="0"/>
      <w:marRight w:val="0"/>
      <w:marTop w:val="0"/>
      <w:marBottom w:val="0"/>
      <w:divBdr>
        <w:top w:val="none" w:sz="0" w:space="0" w:color="auto"/>
        <w:left w:val="none" w:sz="0" w:space="0" w:color="auto"/>
        <w:bottom w:val="none" w:sz="0" w:space="0" w:color="auto"/>
        <w:right w:val="none" w:sz="0" w:space="0" w:color="auto"/>
      </w:divBdr>
    </w:div>
    <w:div w:id="203503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5NUHHDQN7SK2-1476151046-41479</_dlc_DocId>
    <_dlc_DocIdUrl xmlns="f166a696-7b5b-4ccd-9f0c-ffde0cceec81">
      <Url>https://ericsson.sharepoint.com/sites/star/_layouts/15/DocIdRedir.aspx?ID=5NUHHDQN7SK2-1476151046-41479</Url>
      <Description>5NUHHDQN7SK2-1476151046-41479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8A7F3-2C61-4A2F-BA29-F08FB639D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91A50B-64CF-453B-96F3-C65823A0D637}">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B5E6C6E3-7148-488C-BE37-656628621348}">
  <ds:schemaRefs>
    <ds:schemaRef ds:uri="http://schemas.microsoft.com/sharepoint/v3/contenttype/forms"/>
  </ds:schemaRefs>
</ds:datastoreItem>
</file>

<file path=customXml/itemProps4.xml><?xml version="1.0" encoding="utf-8"?>
<ds:datastoreItem xmlns:ds="http://schemas.openxmlformats.org/officeDocument/2006/customXml" ds:itemID="{C27DC21B-B0A2-45AA-B11B-165AF9A9330D}">
  <ds:schemaRefs>
    <ds:schemaRef ds:uri="http://schemas.microsoft.com/sharepoint/events"/>
  </ds:schemaRefs>
</ds:datastoreItem>
</file>

<file path=customXml/itemProps5.xml><?xml version="1.0" encoding="utf-8"?>
<ds:datastoreItem xmlns:ds="http://schemas.openxmlformats.org/officeDocument/2006/customXml" ds:itemID="{5F5CF100-053C-4431-ABDB-124D1D45BDDD}">
  <ds:schemaRefs>
    <ds:schemaRef ds:uri="Microsoft.SharePoint.Taxonomy.ContentTypeSync"/>
  </ds:schemaRefs>
</ds:datastoreItem>
</file>

<file path=customXml/itemProps6.xml><?xml version="1.0" encoding="utf-8"?>
<ds:datastoreItem xmlns:ds="http://schemas.openxmlformats.org/officeDocument/2006/customXml" ds:itemID="{22D77050-1B49-47B5-95FE-182A43F5C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7</Pages>
  <Words>1703</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Naga Vishnu Kanth Irukulapati</cp:lastModifiedBy>
  <cp:revision>11</cp:revision>
  <cp:lastPrinted>1899-12-31T23:00:00Z</cp:lastPrinted>
  <dcterms:created xsi:type="dcterms:W3CDTF">2019-01-10T19:33:00Z</dcterms:created>
  <dcterms:modified xsi:type="dcterms:W3CDTF">2019-02-15T12:29:00Z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af0485e4-a48a-46e0-ad9f-065e8cd85c8f</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238</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